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EastAsia"/>
          <w:lang w:eastAsia="en-AU"/>
        </w:rPr>
        <w:id w:val="-1095860676"/>
        <w:docPartObj>
          <w:docPartGallery w:val="Cover Pages"/>
          <w:docPartUnique/>
        </w:docPartObj>
      </w:sdtPr>
      <w:sdtEndPr>
        <w:rPr>
          <w:rFonts w:eastAsiaTheme="minorHAnsi"/>
          <w:lang w:eastAsia="en-US"/>
        </w:rPr>
      </w:sdtEndPr>
      <w:sdtContent>
        <w:p w14:paraId="5130A9C1" w14:textId="77777777" w:rsidR="00BE10D3" w:rsidRDefault="00BE10D3" w:rsidP="00BE10D3">
          <w:r>
            <w:rPr>
              <w:noProof/>
              <w:lang w:eastAsia="en-AU"/>
            </w:rPr>
            <w:drawing>
              <wp:anchor distT="0" distB="0" distL="114300" distR="114300" simplePos="0" relativeHeight="251655168" behindDoc="0" locked="0" layoutInCell="1" allowOverlap="1" wp14:anchorId="3EF5429C" wp14:editId="62093879">
                <wp:simplePos x="0" y="0"/>
                <wp:positionH relativeFrom="column">
                  <wp:posOffset>-925033</wp:posOffset>
                </wp:positionH>
                <wp:positionV relativeFrom="paragraph">
                  <wp:posOffset>-924730</wp:posOffset>
                </wp:positionV>
                <wp:extent cx="7583349" cy="1072244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349" cy="10722445"/>
                        </a:xfrm>
                        <a:prstGeom prst="rect">
                          <a:avLst/>
                        </a:prstGeom>
                      </pic:spPr>
                    </pic:pic>
                  </a:graphicData>
                </a:graphic>
                <wp14:sizeRelH relativeFrom="page">
                  <wp14:pctWidth>0</wp14:pctWidth>
                </wp14:sizeRelH>
                <wp14:sizeRelV relativeFrom="page">
                  <wp14:pctHeight>0</wp14:pctHeight>
                </wp14:sizeRelV>
              </wp:anchor>
            </w:drawing>
          </w:r>
        </w:p>
        <w:p w14:paraId="52ED2A8A" w14:textId="77777777" w:rsidR="00BE10D3" w:rsidRDefault="00BE10D3" w:rsidP="00BE10D3"/>
        <w:p w14:paraId="6F85D4FC" w14:textId="77777777" w:rsidR="00BE10D3" w:rsidRDefault="00BE10D3" w:rsidP="00BE10D3"/>
        <w:p w14:paraId="7C48B41D" w14:textId="77777777" w:rsidR="00BE10D3" w:rsidRDefault="00BE10D3" w:rsidP="00BE10D3">
          <w:r w:rsidRPr="009E4461">
            <w:rPr>
              <w:noProof/>
              <w:lang w:eastAsia="en-AU"/>
            </w:rPr>
            <mc:AlternateContent>
              <mc:Choice Requires="wps">
                <w:drawing>
                  <wp:anchor distT="0" distB="0" distL="114300" distR="114300" simplePos="0" relativeHeight="251659264" behindDoc="0" locked="0" layoutInCell="1" allowOverlap="1" wp14:anchorId="16C85466" wp14:editId="1E5A89C0">
                    <wp:simplePos x="0" y="0"/>
                    <wp:positionH relativeFrom="column">
                      <wp:posOffset>-431505</wp:posOffset>
                    </wp:positionH>
                    <wp:positionV relativeFrom="paragraph">
                      <wp:posOffset>6602701</wp:posOffset>
                    </wp:positionV>
                    <wp:extent cx="433133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403985"/>
                            </a:xfrm>
                            <a:prstGeom prst="rect">
                              <a:avLst/>
                            </a:prstGeom>
                            <a:noFill/>
                            <a:ln w="9525">
                              <a:noFill/>
                              <a:miter lim="800000"/>
                              <a:headEnd/>
                              <a:tailEnd/>
                            </a:ln>
                          </wps:spPr>
                          <wps:txbx>
                            <w:txbxContent>
                              <w:p w14:paraId="2D16A66E" w14:textId="4B4FA843" w:rsidR="00D31106" w:rsidRPr="005A7DD7" w:rsidRDefault="007F01BA" w:rsidP="00BE10D3">
                                <w:pPr>
                                  <w:spacing w:after="0" w:line="240" w:lineRule="auto"/>
                                  <w:rPr>
                                    <w:rFonts w:ascii="DaxOT-Regular" w:hAnsi="DaxOT-Regular"/>
                                    <w:color w:val="002060"/>
                                    <w:sz w:val="28"/>
                                    <w:szCs w:val="36"/>
                                  </w:rPr>
                                </w:pPr>
                                <w:r>
                                  <w:rPr>
                                    <w:rFonts w:ascii="DaxOT-Regular" w:hAnsi="DaxOT-Regular"/>
                                    <w:color w:val="002060"/>
                                    <w:sz w:val="36"/>
                                    <w:szCs w:val="44"/>
                                  </w:rPr>
                                  <w:t>July to September 2018</w:t>
                                </w:r>
                              </w:p>
                              <w:p w14:paraId="58FBA24D" w14:textId="77777777" w:rsidR="00D31106" w:rsidRPr="003C2A03" w:rsidRDefault="00D31106" w:rsidP="00BE10D3">
                                <w:pPr>
                                  <w:jc w:val="both"/>
                                  <w:rPr>
                                    <w:rFonts w:ascii="DaxOT-Regular" w:hAnsi="DaxOT-Regula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C85466" id="_x0000_t202" coordsize="21600,21600" o:spt="202" path="m,l,21600r21600,l21600,xe">
                    <v:stroke joinstyle="miter"/>
                    <v:path gradientshapeok="t" o:connecttype="rect"/>
                  </v:shapetype>
                  <v:shape id="Text Box 2" o:spid="_x0000_s1026" type="#_x0000_t202" style="position:absolute;margin-left:-34pt;margin-top:519.9pt;width:341.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" filled="f" stroked="f">
                    <v:textbox style="mso-fit-shape-to-text:t">
                      <w:txbxContent>
                        <w:p w14:paraId="2D16A66E" w14:textId="4B4FA843" w:rsidR="00D31106" w:rsidRPr="005A7DD7" w:rsidRDefault="007F01BA" w:rsidP="00BE10D3">
                          <w:pPr>
                            <w:spacing w:after="0" w:line="240" w:lineRule="auto"/>
                            <w:rPr>
                              <w:rFonts w:ascii="DaxOT-Regular" w:hAnsi="DaxOT-Regular"/>
                              <w:color w:val="002060"/>
                              <w:sz w:val="28"/>
                              <w:szCs w:val="36"/>
                            </w:rPr>
                          </w:pPr>
                          <w:r>
                            <w:rPr>
                              <w:rFonts w:ascii="DaxOT-Regular" w:hAnsi="DaxOT-Regular"/>
                              <w:color w:val="002060"/>
                              <w:sz w:val="36"/>
                              <w:szCs w:val="44"/>
                            </w:rPr>
                            <w:t>July to September 2018</w:t>
                          </w:r>
                        </w:p>
                        <w:p w14:paraId="58FBA24D" w14:textId="77777777" w:rsidR="00D31106" w:rsidRPr="003C2A03" w:rsidRDefault="00D31106" w:rsidP="00BE10D3">
                          <w:pPr>
                            <w:jc w:val="both"/>
                            <w:rPr>
                              <w:rFonts w:ascii="DaxOT-Regular" w:hAnsi="DaxOT-Regular"/>
                            </w:rPr>
                          </w:pPr>
                        </w:p>
                      </w:txbxContent>
                    </v:textbox>
                  </v:shape>
                </w:pict>
              </mc:Fallback>
            </mc:AlternateContent>
          </w:r>
          <w:r w:rsidRPr="009E4461">
            <w:rPr>
              <w:noProof/>
              <w:lang w:eastAsia="en-AU"/>
            </w:rPr>
            <mc:AlternateContent>
              <mc:Choice Requires="wps">
                <w:drawing>
                  <wp:anchor distT="0" distB="0" distL="114300" distR="114300" simplePos="0" relativeHeight="251657216" behindDoc="0" locked="0" layoutInCell="1" allowOverlap="1" wp14:anchorId="1263432D" wp14:editId="0514C036">
                    <wp:simplePos x="0" y="0"/>
                    <wp:positionH relativeFrom="column">
                      <wp:posOffset>-517525</wp:posOffset>
                    </wp:positionH>
                    <wp:positionV relativeFrom="paragraph">
                      <wp:posOffset>5887720</wp:posOffset>
                    </wp:positionV>
                    <wp:extent cx="6256020" cy="12388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238885"/>
                            </a:xfrm>
                            <a:prstGeom prst="rect">
                              <a:avLst/>
                            </a:prstGeom>
                            <a:noFill/>
                            <a:ln w="9525">
                              <a:noFill/>
                              <a:miter lim="800000"/>
                              <a:headEnd/>
                              <a:tailEnd/>
                            </a:ln>
                          </wps:spPr>
                          <wps:txbx>
                            <w:txbxContent>
                              <w:p w14:paraId="14C93C05" w14:textId="77777777" w:rsidR="00D31106" w:rsidRPr="002D26EB" w:rsidRDefault="00D31106" w:rsidP="00BE10D3">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 xml:space="preserve">Quarterly Growth Indicators </w:t>
                                </w:r>
                              </w:p>
                              <w:p w14:paraId="0710528D" w14:textId="77777777" w:rsidR="00D31106" w:rsidRPr="003C2A03" w:rsidRDefault="00D31106" w:rsidP="00BE10D3">
                                <w:pPr>
                                  <w:rPr>
                                    <w:rFonts w:ascii="DaxOT-Medium" w:hAnsi="DaxOT-Medium"/>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432D" id="_x0000_s1027" type="#_x0000_t202" style="position:absolute;margin-left:-40.75pt;margin-top:463.6pt;width:492.6pt;height:9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" filled="f" stroked="f">
                    <v:textbox>
                      <w:txbxContent>
                        <w:p w14:paraId="14C93C05" w14:textId="77777777" w:rsidR="00D31106" w:rsidRPr="002D26EB" w:rsidRDefault="00D31106" w:rsidP="00BE10D3">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 xml:space="preserve">Quarterly Growth Indicators </w:t>
                          </w:r>
                        </w:p>
                        <w:p w14:paraId="0710528D" w14:textId="77777777" w:rsidR="00D31106" w:rsidRPr="003C2A03" w:rsidRDefault="00D31106" w:rsidP="00BE10D3">
                          <w:pPr>
                            <w:rPr>
                              <w:rFonts w:ascii="DaxOT-Medium" w:hAnsi="DaxOT-Medium"/>
                              <w:color w:val="7030A0"/>
                            </w:rPr>
                          </w:pPr>
                        </w:p>
                      </w:txbxContent>
                    </v:textbox>
                  </v:shape>
                </w:pict>
              </mc:Fallback>
            </mc:AlternateContent>
          </w:r>
          <w:r>
            <w:br w:type="page"/>
          </w:r>
        </w:p>
        <w:p w14:paraId="77BE467B" w14:textId="77777777" w:rsidR="00CF6C5F" w:rsidRDefault="00CF6C5F" w:rsidP="00E11B20">
          <w:pPr>
            <w:shd w:val="clear" w:color="auto" w:fill="FFFFFF"/>
            <w:spacing w:after="120"/>
            <w:jc w:val="both"/>
            <w:rPr>
              <w:rFonts w:eastAsia="Times New Roman" w:cstheme="minorHAnsi"/>
              <w:color w:val="000000"/>
              <w:lang w:val="en"/>
            </w:rPr>
            <w:sectPr w:rsidR="00CF6C5F">
              <w:pgSz w:w="11906" w:h="16838"/>
              <w:pgMar w:top="1440" w:right="1440" w:bottom="1440" w:left="1440" w:header="708" w:footer="708" w:gutter="0"/>
              <w:cols w:space="708"/>
              <w:docGrid w:linePitch="360"/>
            </w:sectPr>
          </w:pPr>
        </w:p>
        <w:p w14:paraId="6FC6C133" w14:textId="6B46A22E" w:rsidR="007F01BA" w:rsidRDefault="007F01BA" w:rsidP="007F01BA">
          <w:pPr>
            <w:pStyle w:val="Caption"/>
            <w:keepNext/>
            <w:spacing w:after="120"/>
            <w:jc w:val="center"/>
          </w:pPr>
          <w:r>
            <w:lastRenderedPageBreak/>
            <w:t xml:space="preserve">Figure </w:t>
          </w:r>
          <w:fldSimple w:instr=" SEQ Figure \* ARABIC ">
            <w:r>
              <w:rPr>
                <w:noProof/>
              </w:rPr>
              <w:t>1</w:t>
            </w:r>
          </w:fldSimple>
          <w:r>
            <w:t>: New dwelling approvals, requests for new garbage services and birth notices, July to September 2018</w:t>
          </w:r>
        </w:p>
        <w:p w14:paraId="36EEB36B" w14:textId="15D4B1E6" w:rsidR="007F01BA" w:rsidRDefault="007F01BA" w:rsidP="007F01BA">
          <w:pPr>
            <w:shd w:val="clear" w:color="auto" w:fill="FFFFFF"/>
            <w:spacing w:after="0" w:line="336" w:lineRule="atLeast"/>
            <w:jc w:val="center"/>
            <w:sectPr w:rsidR="007F01BA" w:rsidSect="00DD5D09">
              <w:pgSz w:w="16838" w:h="11906" w:orient="landscape"/>
              <w:pgMar w:top="720" w:right="720" w:bottom="720" w:left="720" w:header="708" w:footer="708" w:gutter="0"/>
              <w:cols w:space="708"/>
              <w:docGrid w:linePitch="360"/>
            </w:sectPr>
          </w:pPr>
          <w:r>
            <w:rPr>
              <w:noProof/>
            </w:rPr>
            <w:drawing>
              <wp:inline distT="0" distB="0" distL="0" distR="0" wp14:anchorId="1BB9861F" wp14:editId="129A852B">
                <wp:extent cx="9091789" cy="6428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 - Wyndham Growth - Reporting period July-September 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36058" cy="6460240"/>
                        </a:xfrm>
                        <a:prstGeom prst="rect">
                          <a:avLst/>
                        </a:prstGeom>
                      </pic:spPr>
                    </pic:pic>
                  </a:graphicData>
                </a:graphic>
              </wp:inline>
            </w:drawing>
          </w:r>
        </w:p>
        <w:p w14:paraId="7E65ED4E" w14:textId="77777777" w:rsidR="007F01BA" w:rsidRPr="0050423A" w:rsidRDefault="007F01BA" w:rsidP="007F01BA">
          <w:pPr>
            <w:shd w:val="clear" w:color="auto" w:fill="FFFFFF"/>
            <w:spacing w:after="120"/>
            <w:jc w:val="both"/>
            <w:rPr>
              <w:rFonts w:eastAsia="Times New Roman" w:cstheme="minorHAnsi"/>
              <w:color w:val="000000"/>
              <w:lang w:val="en"/>
            </w:rPr>
          </w:pPr>
          <w:r w:rsidRPr="0050423A">
            <w:rPr>
              <w:rFonts w:eastAsia="Times New Roman" w:cstheme="minorHAnsi"/>
              <w:color w:val="000000"/>
              <w:lang w:val="en"/>
            </w:rPr>
            <w:lastRenderedPageBreak/>
            <w:t xml:space="preserve">Between </w:t>
          </w:r>
          <w:r w:rsidRPr="0050423A">
            <w:rPr>
              <w:rFonts w:ascii="Calibri" w:hAnsi="Calibri"/>
            </w:rPr>
            <w:t>201</w:t>
          </w:r>
          <w:r>
            <w:rPr>
              <w:rFonts w:ascii="Calibri" w:hAnsi="Calibri"/>
            </w:rPr>
            <w:t>6 and 2017</w:t>
          </w:r>
          <w:r w:rsidRPr="0050423A">
            <w:rPr>
              <w:rFonts w:ascii="Calibri" w:hAnsi="Calibri"/>
            </w:rPr>
            <w:t xml:space="preserve"> Wyndham was </w:t>
          </w:r>
          <w:r>
            <w:rPr>
              <w:rFonts w:ascii="Calibri" w:hAnsi="Calibri"/>
            </w:rPr>
            <w:t>one of the fastest growing municipalities</w:t>
          </w:r>
          <w:r w:rsidRPr="0050423A">
            <w:rPr>
              <w:rFonts w:ascii="Calibri" w:hAnsi="Calibri"/>
            </w:rPr>
            <w:t xml:space="preserve"> </w:t>
          </w:r>
          <w:r>
            <w:rPr>
              <w:rFonts w:ascii="Calibri" w:hAnsi="Calibri"/>
            </w:rPr>
            <w:t>in Victoria</w:t>
          </w:r>
          <w:r w:rsidRPr="0050423A">
            <w:rPr>
              <w:rFonts w:ascii="Calibri" w:hAnsi="Calibri"/>
            </w:rPr>
            <w:t>, growing by 13,</w:t>
          </w:r>
          <w:r>
            <w:rPr>
              <w:rFonts w:ascii="Calibri" w:hAnsi="Calibri"/>
            </w:rPr>
            <w:t>814 persons to 241</w:t>
          </w:r>
          <w:r w:rsidRPr="0050423A">
            <w:rPr>
              <w:rFonts w:ascii="Calibri" w:hAnsi="Calibri"/>
            </w:rPr>
            <w:t>,</w:t>
          </w:r>
          <w:r>
            <w:rPr>
              <w:rFonts w:ascii="Calibri" w:hAnsi="Calibri"/>
            </w:rPr>
            <w:t>902</w:t>
          </w:r>
          <w:r w:rsidRPr="0050423A">
            <w:rPr>
              <w:rFonts w:ascii="Calibri" w:hAnsi="Calibri"/>
            </w:rPr>
            <w:t xml:space="preserve"> residents</w:t>
          </w:r>
          <w:r w:rsidRPr="0050423A">
            <w:rPr>
              <w:rStyle w:val="FootnoteReference"/>
              <w:rFonts w:ascii="Calibri" w:hAnsi="Calibri"/>
            </w:rPr>
            <w:footnoteReference w:id="1"/>
          </w:r>
          <w:r w:rsidRPr="0050423A">
            <w:rPr>
              <w:rFonts w:ascii="Calibri" w:hAnsi="Calibri"/>
            </w:rPr>
            <w:t xml:space="preserve">. Over the next 20 years growth is expected to remain strong – </w:t>
          </w:r>
          <w:r>
            <w:rPr>
              <w:rFonts w:ascii="Calibri" w:hAnsi="Calibri"/>
            </w:rPr>
            <w:t>the projected population in 2041 is 489</w:t>
          </w:r>
          <w:r w:rsidRPr="0050423A">
            <w:rPr>
              <w:rFonts w:ascii="Calibri" w:hAnsi="Calibri"/>
            </w:rPr>
            <w:t>,</w:t>
          </w:r>
          <w:r>
            <w:rPr>
              <w:rFonts w:ascii="Calibri" w:hAnsi="Calibri"/>
            </w:rPr>
            <w:t>379</w:t>
          </w:r>
          <w:r w:rsidRPr="0050423A">
            <w:rPr>
              <w:rStyle w:val="FootnoteReference"/>
              <w:rFonts w:eastAsia="Times New Roman" w:cstheme="minorHAnsi"/>
              <w:color w:val="000000"/>
              <w:lang w:val="en"/>
            </w:rPr>
            <w:footnoteReference w:id="2"/>
          </w:r>
          <w:r w:rsidRPr="0050423A">
            <w:rPr>
              <w:rFonts w:eastAsia="Times New Roman" w:cstheme="minorHAnsi"/>
              <w:color w:val="000000"/>
              <w:lang w:val="en"/>
            </w:rPr>
            <w:t>. Large and unevenly dispersed population growth presents opportunities and challenges for service delivery and planning.</w:t>
          </w:r>
        </w:p>
        <w:p w14:paraId="274DB695" w14:textId="7EACBC29" w:rsidR="007F01BA" w:rsidRPr="0050423A" w:rsidRDefault="007F01BA" w:rsidP="007F01BA">
          <w:pPr>
            <w:shd w:val="clear" w:color="auto" w:fill="FFFFFF"/>
            <w:spacing w:after="120"/>
            <w:jc w:val="both"/>
            <w:rPr>
              <w:rFonts w:eastAsia="Times New Roman" w:cstheme="minorHAnsi"/>
              <w:color w:val="000000"/>
              <w:lang w:val="en"/>
            </w:rPr>
          </w:pPr>
          <w:r w:rsidRPr="0050423A">
            <w:rPr>
              <w:rFonts w:eastAsia="Times New Roman" w:cstheme="minorHAnsi"/>
              <w:color w:val="000000"/>
              <w:lang w:val="en"/>
            </w:rPr>
            <w:t>The Quarterly Growth Indicators keep track of where the growth in the city is taking place based on new dwelling approvals, requests for new garbage service, and births</w:t>
          </w:r>
          <w:r w:rsidRPr="0050423A">
            <w:rPr>
              <w:rStyle w:val="FootnoteReference"/>
              <w:rFonts w:eastAsia="Times New Roman" w:cstheme="minorHAnsi"/>
              <w:color w:val="000000"/>
              <w:lang w:val="en"/>
            </w:rPr>
            <w:footnoteReference w:id="3"/>
          </w:r>
          <w:r w:rsidRPr="0050423A">
            <w:rPr>
              <w:rFonts w:eastAsia="Times New Roman" w:cstheme="minorHAnsi"/>
              <w:color w:val="000000"/>
              <w:lang w:val="en"/>
            </w:rPr>
            <w:t xml:space="preserve">. The map above shows for the </w:t>
          </w:r>
          <w:r>
            <w:rPr>
              <w:rFonts w:eastAsia="Times New Roman" w:cstheme="minorHAnsi"/>
              <w:color w:val="000000"/>
              <w:lang w:val="en"/>
            </w:rPr>
            <w:t xml:space="preserve">July-September 2018 </w:t>
          </w:r>
          <w:r w:rsidRPr="0050423A">
            <w:rPr>
              <w:rFonts w:eastAsia="Times New Roman" w:cstheme="minorHAnsi"/>
              <w:color w:val="000000"/>
              <w:lang w:val="en"/>
            </w:rPr>
            <w:t>quarter:</w:t>
          </w:r>
        </w:p>
        <w:p w14:paraId="6B6245AC" w14:textId="673A4A5E" w:rsidR="007F01BA" w:rsidRPr="009E1522" w:rsidRDefault="007F01BA" w:rsidP="007F01BA">
          <w:pPr>
            <w:pStyle w:val="ListParagraph"/>
            <w:numPr>
              <w:ilvl w:val="0"/>
              <w:numId w:val="5"/>
            </w:numPr>
            <w:shd w:val="clear" w:color="auto" w:fill="FFFFFF"/>
            <w:spacing w:after="120"/>
            <w:jc w:val="both"/>
            <w:rPr>
              <w:rFonts w:eastAsia="Times New Roman" w:cstheme="minorHAnsi"/>
              <w:color w:val="000000"/>
              <w:lang w:val="en"/>
            </w:rPr>
          </w:pPr>
          <w:r w:rsidRPr="009E1522">
            <w:rPr>
              <w:rFonts w:eastAsia="Times New Roman" w:cstheme="minorHAnsi"/>
              <w:color w:val="000000"/>
              <w:lang w:val="en"/>
            </w:rPr>
            <w:t xml:space="preserve">Dwelling approvals are in the blue shading. Over a </w:t>
          </w:r>
          <w:r w:rsidR="009E1522" w:rsidRPr="009E1522">
            <w:rPr>
              <w:rFonts w:eastAsia="Times New Roman" w:cstheme="minorHAnsi"/>
              <w:color w:val="000000"/>
              <w:lang w:val="en"/>
            </w:rPr>
            <w:t>fifth of the 1,13</w:t>
          </w:r>
          <w:r w:rsidRPr="009E1522">
            <w:rPr>
              <w:rFonts w:eastAsia="Times New Roman" w:cstheme="minorHAnsi"/>
              <w:color w:val="000000"/>
              <w:lang w:val="en"/>
            </w:rPr>
            <w:t>5 dwelling approvals were granted in Tarneit</w:t>
          </w:r>
          <w:r w:rsidR="009E1522" w:rsidRPr="009E1522">
            <w:rPr>
              <w:rFonts w:eastAsia="Times New Roman" w:cstheme="minorHAnsi"/>
              <w:color w:val="000000"/>
              <w:lang w:val="en"/>
            </w:rPr>
            <w:t xml:space="preserve"> (254</w:t>
          </w:r>
          <w:r w:rsidRPr="009E1522">
            <w:rPr>
              <w:rFonts w:eastAsia="Times New Roman" w:cstheme="minorHAnsi"/>
              <w:color w:val="000000"/>
              <w:lang w:val="en"/>
            </w:rPr>
            <w:t>)</w:t>
          </w:r>
          <w:r w:rsidR="009E1522" w:rsidRPr="009E1522">
            <w:rPr>
              <w:rFonts w:eastAsia="Times New Roman" w:cstheme="minorHAnsi"/>
              <w:color w:val="000000"/>
              <w:lang w:val="en"/>
            </w:rPr>
            <w:t xml:space="preserve"> and another fifth in Point Cook (236). The next largest suburbs were Truganina (193) and Werribee (183)</w:t>
          </w:r>
          <w:r w:rsidR="005864F4">
            <w:rPr>
              <w:rFonts w:eastAsia="Times New Roman" w:cstheme="minorHAnsi"/>
              <w:color w:val="000000"/>
              <w:lang w:val="en"/>
            </w:rPr>
            <w:t xml:space="preserve"> </w:t>
          </w:r>
          <w:r w:rsidRPr="009E1522">
            <w:rPr>
              <w:rFonts w:eastAsia="Times New Roman" w:cstheme="minorHAnsi"/>
              <w:color w:val="000000"/>
              <w:lang w:val="en"/>
            </w:rPr>
            <w:t>and just under one in five in Werribee (214).</w:t>
          </w:r>
        </w:p>
        <w:p w14:paraId="3417C5A1" w14:textId="75CE9CF5" w:rsidR="007F01BA" w:rsidRPr="009E1522" w:rsidRDefault="007F01BA" w:rsidP="007F01BA">
          <w:pPr>
            <w:pStyle w:val="ListParagraph"/>
            <w:numPr>
              <w:ilvl w:val="0"/>
              <w:numId w:val="5"/>
            </w:numPr>
            <w:shd w:val="clear" w:color="auto" w:fill="FFFFFF"/>
            <w:spacing w:after="120"/>
            <w:jc w:val="both"/>
            <w:rPr>
              <w:rFonts w:eastAsia="Times New Roman" w:cstheme="minorHAnsi"/>
              <w:color w:val="000000"/>
              <w:lang w:val="en"/>
            </w:rPr>
          </w:pPr>
          <w:r w:rsidRPr="009E1522">
            <w:rPr>
              <w:rFonts w:eastAsia="Times New Roman" w:cstheme="minorHAnsi"/>
              <w:color w:val="000000"/>
              <w:lang w:val="en"/>
            </w:rPr>
            <w:t xml:space="preserve">The requests for new bins (the orange pins) indicate that residents are moving into new developments across the city. People are moving into the boundaries of suburbs for the most part, </w:t>
          </w:r>
          <w:r w:rsidR="009E1522" w:rsidRPr="009E1522">
            <w:rPr>
              <w:rFonts w:eastAsia="Times New Roman" w:cstheme="minorHAnsi"/>
              <w:color w:val="000000"/>
              <w:lang w:val="en"/>
            </w:rPr>
            <w:t>and particularly into new developments in South Tarneit and West Werribee</w:t>
          </w:r>
          <w:r w:rsidRPr="009E1522">
            <w:rPr>
              <w:rFonts w:eastAsia="Times New Roman" w:cstheme="minorHAnsi"/>
              <w:color w:val="000000"/>
              <w:lang w:val="en"/>
            </w:rPr>
            <w:t xml:space="preserve">. </w:t>
          </w:r>
        </w:p>
        <w:p w14:paraId="0F058BEE" w14:textId="42E67A06" w:rsidR="007F01BA" w:rsidRPr="00446D84" w:rsidRDefault="007F01BA" w:rsidP="007F01BA">
          <w:pPr>
            <w:pStyle w:val="ListParagraph"/>
            <w:numPr>
              <w:ilvl w:val="0"/>
              <w:numId w:val="5"/>
            </w:numPr>
            <w:shd w:val="clear" w:color="auto" w:fill="FFFFFF"/>
            <w:spacing w:after="120"/>
            <w:jc w:val="both"/>
            <w:rPr>
              <w:rFonts w:eastAsia="Times New Roman" w:cstheme="minorHAnsi"/>
              <w:color w:val="000000"/>
              <w:lang w:val="en"/>
            </w:rPr>
          </w:pPr>
          <w:r w:rsidRPr="00446D84">
            <w:rPr>
              <w:rFonts w:eastAsia="Times New Roman" w:cstheme="minorHAnsi"/>
              <w:color w:val="000000"/>
              <w:lang w:val="en"/>
            </w:rPr>
            <w:t xml:space="preserve">Of </w:t>
          </w:r>
          <w:r w:rsidRPr="00D12849">
            <w:rPr>
              <w:rFonts w:eastAsia="Times New Roman" w:cstheme="minorHAnsi"/>
              <w:color w:val="000000"/>
              <w:lang w:val="en"/>
            </w:rPr>
            <w:t xml:space="preserve">the </w:t>
          </w:r>
          <w:r w:rsidR="009E1522" w:rsidRPr="00D12849">
            <w:rPr>
              <w:rFonts w:eastAsia="Times New Roman" w:cstheme="minorHAnsi"/>
              <w:color w:val="000000"/>
              <w:lang w:val="en"/>
            </w:rPr>
            <w:t>1,17</w:t>
          </w:r>
          <w:r w:rsidRPr="00D12849">
            <w:rPr>
              <w:rFonts w:eastAsia="Times New Roman" w:cstheme="minorHAnsi"/>
              <w:color w:val="000000"/>
              <w:lang w:val="en"/>
            </w:rPr>
            <w:t>4 births</w:t>
          </w:r>
          <w:r w:rsidRPr="00446D84">
            <w:rPr>
              <w:rFonts w:eastAsia="Times New Roman" w:cstheme="minorHAnsi"/>
              <w:color w:val="000000"/>
              <w:lang w:val="en"/>
            </w:rPr>
            <w:t xml:space="preserve"> registered at </w:t>
          </w:r>
          <w:r w:rsidRPr="00FA442B">
            <w:rPr>
              <w:rFonts w:eastAsia="Times New Roman" w:cstheme="minorHAnsi"/>
              <w:color w:val="000000"/>
              <w:lang w:val="en"/>
            </w:rPr>
            <w:t>Wyndham M</w:t>
          </w:r>
          <w:r w:rsidR="005864F4">
            <w:rPr>
              <w:rFonts w:eastAsia="Times New Roman" w:cstheme="minorHAnsi"/>
              <w:color w:val="000000"/>
              <w:lang w:val="en"/>
            </w:rPr>
            <w:t xml:space="preserve">aternal and Child Health (MCH) </w:t>
          </w:r>
          <w:r w:rsidRPr="00FA442B">
            <w:rPr>
              <w:rFonts w:eastAsia="Times New Roman" w:cstheme="minorHAnsi"/>
              <w:color w:val="000000"/>
              <w:lang w:val="en"/>
            </w:rPr>
            <w:t xml:space="preserve">centres (in the green circles) almost half </w:t>
          </w:r>
          <w:r w:rsidR="005864F4">
            <w:rPr>
              <w:rFonts w:eastAsia="Times New Roman" w:cstheme="minorHAnsi"/>
              <w:color w:val="000000"/>
              <w:lang w:val="en"/>
            </w:rPr>
            <w:t>were</w:t>
          </w:r>
          <w:r w:rsidRPr="00FA442B">
            <w:rPr>
              <w:rFonts w:eastAsia="Times New Roman" w:cstheme="minorHAnsi"/>
              <w:color w:val="000000"/>
              <w:lang w:val="en"/>
            </w:rPr>
            <w:t xml:space="preserve"> in </w:t>
          </w:r>
          <w:r w:rsidR="00FA442B" w:rsidRPr="00FA442B">
            <w:rPr>
              <w:rFonts w:eastAsia="Times New Roman" w:cstheme="minorHAnsi"/>
              <w:color w:val="000000"/>
              <w:lang w:val="en"/>
            </w:rPr>
            <w:t>the Northern and Eastern suburbs</w:t>
          </w:r>
          <w:r w:rsidRPr="00FA442B">
            <w:rPr>
              <w:rFonts w:eastAsia="Times New Roman" w:cstheme="minorHAnsi"/>
              <w:color w:val="000000"/>
              <w:lang w:val="en"/>
            </w:rPr>
            <w:t>. Given the estimated future growth in these areas as well as their current size</w:t>
          </w:r>
          <w:r w:rsidR="005864F4">
            <w:rPr>
              <w:rFonts w:eastAsia="Times New Roman" w:cstheme="minorHAnsi"/>
              <w:color w:val="000000"/>
              <w:lang w:val="en"/>
            </w:rPr>
            <w:t>,</w:t>
          </w:r>
          <w:r w:rsidRPr="00FA442B">
            <w:rPr>
              <w:rFonts w:eastAsia="Times New Roman" w:cstheme="minorHAnsi"/>
              <w:color w:val="000000"/>
              <w:lang w:val="en"/>
            </w:rPr>
            <w:t xml:space="preserve"> they will likely remain the largest suburbs for births for a while.</w:t>
          </w:r>
        </w:p>
        <w:p w14:paraId="62D5E627" w14:textId="77777777" w:rsidR="007F01BA" w:rsidRPr="0029682B" w:rsidRDefault="007F01BA" w:rsidP="007F01BA">
          <w:pPr>
            <w:shd w:val="clear" w:color="auto" w:fill="FFFFFF"/>
            <w:spacing w:after="120"/>
            <w:jc w:val="both"/>
            <w:rPr>
              <w:rFonts w:eastAsia="Times New Roman" w:cstheme="minorHAnsi"/>
              <w:color w:val="000000"/>
              <w:lang w:val="en"/>
            </w:rPr>
          </w:pPr>
          <w:r w:rsidRPr="0029682B">
            <w:rPr>
              <w:rFonts w:eastAsia="Times New Roman" w:cstheme="minorHAnsi"/>
              <w:color w:val="000000"/>
              <w:lang w:val="en"/>
            </w:rPr>
            <w:t>All three indicators have seen decreases with respect to the previous quarter:</w:t>
          </w:r>
        </w:p>
        <w:p w14:paraId="42EB44F4" w14:textId="7395E0E4" w:rsidR="007F01BA" w:rsidRPr="009E1522" w:rsidRDefault="007F01BA" w:rsidP="007F01BA">
          <w:pPr>
            <w:pStyle w:val="ListParagraph"/>
            <w:numPr>
              <w:ilvl w:val="0"/>
              <w:numId w:val="3"/>
            </w:numPr>
            <w:shd w:val="clear" w:color="auto" w:fill="FFFFFF"/>
            <w:spacing w:after="120"/>
            <w:jc w:val="both"/>
            <w:rPr>
              <w:rFonts w:eastAsia="Times New Roman" w:cstheme="minorHAnsi"/>
              <w:color w:val="000000"/>
              <w:lang w:val="en"/>
            </w:rPr>
          </w:pPr>
          <w:r w:rsidRPr="009E1522">
            <w:rPr>
              <w:rFonts w:eastAsia="Times New Roman" w:cstheme="minorHAnsi"/>
              <w:color w:val="000000"/>
              <w:lang w:val="en"/>
            </w:rPr>
            <w:t xml:space="preserve">The number of building permits has dropped slightly from the previous quarter. Between </w:t>
          </w:r>
          <w:r w:rsidR="009E1522" w:rsidRPr="009E1522">
            <w:rPr>
              <w:rFonts w:eastAsia="Times New Roman" w:cstheme="minorHAnsi"/>
              <w:color w:val="000000"/>
              <w:lang w:val="en"/>
            </w:rPr>
            <w:t xml:space="preserve">April and June </w:t>
          </w:r>
          <w:r w:rsidRPr="009E1522">
            <w:rPr>
              <w:rFonts w:eastAsia="Times New Roman" w:cstheme="minorHAnsi"/>
              <w:color w:val="000000"/>
              <w:lang w:val="en"/>
            </w:rPr>
            <w:t>2018 there were 1,</w:t>
          </w:r>
          <w:r w:rsidR="009E1522" w:rsidRPr="009E1522">
            <w:rPr>
              <w:rFonts w:eastAsia="Times New Roman" w:cstheme="minorHAnsi"/>
              <w:color w:val="000000"/>
              <w:lang w:val="en"/>
            </w:rPr>
            <w:t>195 dwelling permits – 60</w:t>
          </w:r>
          <w:r w:rsidRPr="009E1522">
            <w:rPr>
              <w:rFonts w:eastAsia="Times New Roman" w:cstheme="minorHAnsi"/>
              <w:color w:val="000000"/>
              <w:lang w:val="en"/>
            </w:rPr>
            <w:t xml:space="preserve"> more than in the most recent quarter.</w:t>
          </w:r>
        </w:p>
        <w:p w14:paraId="56C115DD" w14:textId="7C32ECF3" w:rsidR="007F01BA" w:rsidRPr="00FA442B" w:rsidRDefault="007F01BA" w:rsidP="007F01BA">
          <w:pPr>
            <w:pStyle w:val="ListParagraph"/>
            <w:numPr>
              <w:ilvl w:val="0"/>
              <w:numId w:val="3"/>
            </w:numPr>
            <w:shd w:val="clear" w:color="auto" w:fill="FFFFFF"/>
            <w:spacing w:after="120"/>
            <w:jc w:val="both"/>
            <w:rPr>
              <w:rFonts w:eastAsia="Times New Roman" w:cstheme="minorHAnsi"/>
              <w:color w:val="000000"/>
              <w:lang w:val="en"/>
            </w:rPr>
          </w:pPr>
          <w:r w:rsidRPr="00FA442B">
            <w:rPr>
              <w:rFonts w:eastAsia="Times New Roman" w:cstheme="minorHAnsi"/>
              <w:color w:val="000000"/>
              <w:lang w:val="en"/>
            </w:rPr>
            <w:t xml:space="preserve">There were </w:t>
          </w:r>
          <w:r w:rsidR="00FA442B" w:rsidRPr="00FA442B">
            <w:rPr>
              <w:rFonts w:eastAsia="Times New Roman" w:cstheme="minorHAnsi"/>
              <w:color w:val="000000"/>
              <w:lang w:val="en"/>
            </w:rPr>
            <w:t>more than twice as many new bin requests in July-September 2018 compared with the previous quarter.</w:t>
          </w:r>
        </w:p>
        <w:p w14:paraId="4870953A" w14:textId="7EF9ACE8" w:rsidR="007F01BA" w:rsidRPr="00FA442B" w:rsidRDefault="007F01BA" w:rsidP="007F01BA">
          <w:pPr>
            <w:pStyle w:val="ListParagraph"/>
            <w:numPr>
              <w:ilvl w:val="0"/>
              <w:numId w:val="3"/>
            </w:numPr>
            <w:shd w:val="clear" w:color="auto" w:fill="FFFFFF"/>
            <w:spacing w:after="120"/>
            <w:jc w:val="both"/>
            <w:rPr>
              <w:rFonts w:eastAsia="Times New Roman" w:cstheme="minorHAnsi"/>
              <w:color w:val="000000"/>
              <w:lang w:val="en"/>
            </w:rPr>
          </w:pPr>
          <w:r w:rsidRPr="00FA442B">
            <w:rPr>
              <w:rFonts w:eastAsia="Times New Roman" w:cstheme="minorHAnsi"/>
              <w:color w:val="000000"/>
              <w:lang w:val="en"/>
            </w:rPr>
            <w:t>T</w:t>
          </w:r>
          <w:r w:rsidR="009E1522" w:rsidRPr="00FA442B">
            <w:rPr>
              <w:rFonts w:eastAsia="Times New Roman" w:cstheme="minorHAnsi"/>
              <w:color w:val="000000"/>
              <w:lang w:val="en"/>
            </w:rPr>
            <w:t>here were 1,194</w:t>
          </w:r>
          <w:r w:rsidRPr="00FA442B">
            <w:rPr>
              <w:rFonts w:eastAsia="Times New Roman" w:cstheme="minorHAnsi"/>
              <w:color w:val="000000"/>
              <w:lang w:val="en"/>
            </w:rPr>
            <w:t xml:space="preserve"> births between January and March 2018. This dropped</w:t>
          </w:r>
          <w:r w:rsidR="009E1522" w:rsidRPr="00FA442B">
            <w:rPr>
              <w:rFonts w:eastAsia="Times New Roman" w:cstheme="minorHAnsi"/>
              <w:color w:val="000000"/>
              <w:lang w:val="en"/>
            </w:rPr>
            <w:t xml:space="preserve"> slightly to 1,17</w:t>
          </w:r>
          <w:r w:rsidRPr="00FA442B">
            <w:rPr>
              <w:rFonts w:eastAsia="Times New Roman" w:cstheme="minorHAnsi"/>
              <w:color w:val="000000"/>
              <w:lang w:val="en"/>
            </w:rPr>
            <w:t>4 in the most recent quarter. That is 9</w:t>
          </w:r>
          <w:r w:rsidR="009E1522" w:rsidRPr="00FA442B">
            <w:rPr>
              <w:rFonts w:eastAsia="Times New Roman" w:cstheme="minorHAnsi"/>
              <w:color w:val="000000"/>
              <w:lang w:val="en"/>
            </w:rPr>
            <w:t>0</w:t>
          </w:r>
          <w:r w:rsidRPr="00FA442B">
            <w:rPr>
              <w:rFonts w:eastAsia="Times New Roman" w:cstheme="minorHAnsi"/>
              <w:color w:val="000000"/>
              <w:lang w:val="en"/>
            </w:rPr>
            <w:t xml:space="preserve"> births per week on average.</w:t>
          </w:r>
        </w:p>
        <w:p w14:paraId="2219B906" w14:textId="77777777" w:rsidR="007F01BA" w:rsidRPr="0029682B" w:rsidRDefault="007F01BA" w:rsidP="007F01BA">
          <w:pPr>
            <w:shd w:val="clear" w:color="auto" w:fill="FFFFFF"/>
            <w:spacing w:after="120"/>
            <w:jc w:val="both"/>
            <w:rPr>
              <w:rFonts w:eastAsia="Times New Roman" w:cstheme="minorHAnsi"/>
              <w:color w:val="000000"/>
              <w:lang w:val="en"/>
            </w:rPr>
          </w:pPr>
          <w:r w:rsidRPr="0029682B">
            <w:rPr>
              <w:rFonts w:eastAsia="Times New Roman" w:cstheme="minorHAnsi"/>
              <w:color w:val="000000"/>
              <w:lang w:val="en"/>
            </w:rPr>
            <w:t xml:space="preserve">From the July-September 2017 quarter to the current quarter the following trends arise: </w:t>
          </w:r>
        </w:p>
        <w:p w14:paraId="4FDBE4AF" w14:textId="4B7E6616" w:rsidR="007F01BA" w:rsidRPr="00FA442B" w:rsidRDefault="007F01BA" w:rsidP="007F01BA">
          <w:pPr>
            <w:pStyle w:val="ListParagraph"/>
            <w:numPr>
              <w:ilvl w:val="0"/>
              <w:numId w:val="6"/>
            </w:numPr>
            <w:shd w:val="clear" w:color="auto" w:fill="FFFFFF"/>
            <w:spacing w:after="120"/>
            <w:jc w:val="both"/>
            <w:rPr>
              <w:rFonts w:eastAsia="Times New Roman" w:cstheme="minorHAnsi"/>
              <w:color w:val="000000"/>
              <w:lang w:val="en"/>
            </w:rPr>
          </w:pPr>
          <w:r w:rsidRPr="00FA442B">
            <w:rPr>
              <w:rFonts w:eastAsia="Times New Roman" w:cstheme="minorHAnsi"/>
              <w:color w:val="000000"/>
              <w:lang w:val="en"/>
            </w:rPr>
            <w:t>In July-September 2017 Tarneit had the highest number of dwelling approvals. After a sharp decline it ha</w:t>
          </w:r>
          <w:r w:rsidR="00FA442B" w:rsidRPr="00FA442B">
            <w:rPr>
              <w:rFonts w:eastAsia="Times New Roman" w:cstheme="minorHAnsi"/>
              <w:color w:val="000000"/>
              <w:lang w:val="en"/>
            </w:rPr>
            <w:t xml:space="preserve">d been briefly overtaken by </w:t>
          </w:r>
          <w:r w:rsidRPr="00FA442B">
            <w:rPr>
              <w:rFonts w:eastAsia="Times New Roman" w:cstheme="minorHAnsi"/>
              <w:color w:val="000000"/>
              <w:lang w:val="en"/>
            </w:rPr>
            <w:t>dwelling approvals in Point Cook and Werribee</w:t>
          </w:r>
          <w:r w:rsidR="00FA442B" w:rsidRPr="00FA442B">
            <w:rPr>
              <w:rFonts w:eastAsia="Times New Roman" w:cstheme="minorHAnsi"/>
              <w:color w:val="000000"/>
              <w:lang w:val="en"/>
            </w:rPr>
            <w:t xml:space="preserve">, though in the most recent quarter has seen the largest number of approvals again. </w:t>
          </w:r>
          <w:r w:rsidRPr="00FA442B">
            <w:rPr>
              <w:rFonts w:eastAsia="Times New Roman" w:cstheme="minorHAnsi"/>
              <w:color w:val="000000"/>
              <w:lang w:val="en"/>
            </w:rPr>
            <w:t>Point Coo</w:t>
          </w:r>
          <w:r w:rsidR="00F25DDC">
            <w:rPr>
              <w:rFonts w:eastAsia="Times New Roman" w:cstheme="minorHAnsi"/>
              <w:color w:val="000000"/>
              <w:lang w:val="en"/>
            </w:rPr>
            <w:t xml:space="preserve">k will see continued decreases </w:t>
          </w:r>
          <w:r w:rsidR="005864F4">
            <w:rPr>
              <w:rFonts w:eastAsia="Times New Roman" w:cstheme="minorHAnsi"/>
              <w:color w:val="000000"/>
              <w:lang w:val="en"/>
            </w:rPr>
            <w:t xml:space="preserve">as it </w:t>
          </w:r>
          <w:r w:rsidRPr="00FA442B">
            <w:rPr>
              <w:rFonts w:eastAsia="Times New Roman" w:cstheme="minorHAnsi"/>
              <w:color w:val="000000"/>
              <w:lang w:val="en"/>
            </w:rPr>
            <w:t>is close to being fully established, and Werribee will likely see more development on the Western growth front.</w:t>
          </w:r>
        </w:p>
        <w:p w14:paraId="41E0EEAE" w14:textId="3735697F" w:rsidR="007F01BA" w:rsidRPr="00FA442B" w:rsidRDefault="007F01BA" w:rsidP="007F01BA">
          <w:pPr>
            <w:pStyle w:val="ListParagraph"/>
            <w:numPr>
              <w:ilvl w:val="0"/>
              <w:numId w:val="6"/>
            </w:numPr>
            <w:shd w:val="clear" w:color="auto" w:fill="FFFFFF"/>
            <w:spacing w:after="120"/>
            <w:jc w:val="both"/>
            <w:rPr>
              <w:rFonts w:eastAsia="Times New Roman" w:cstheme="minorHAnsi"/>
              <w:color w:val="000000"/>
              <w:lang w:val="en"/>
            </w:rPr>
          </w:pPr>
          <w:r w:rsidRPr="00FA442B">
            <w:rPr>
              <w:rFonts w:eastAsia="Times New Roman" w:cstheme="minorHAnsi"/>
              <w:color w:val="000000"/>
              <w:lang w:val="en"/>
            </w:rPr>
            <w:t xml:space="preserve">The most recent quarter has seen a sharp </w:t>
          </w:r>
          <w:r w:rsidR="00FA442B" w:rsidRPr="00FA442B">
            <w:rPr>
              <w:rFonts w:eastAsia="Times New Roman" w:cstheme="minorHAnsi"/>
              <w:color w:val="000000"/>
              <w:lang w:val="en"/>
            </w:rPr>
            <w:t>up</w:t>
          </w:r>
          <w:r w:rsidRPr="00FA442B">
            <w:rPr>
              <w:rFonts w:eastAsia="Times New Roman" w:cstheme="minorHAnsi"/>
              <w:color w:val="000000"/>
              <w:lang w:val="en"/>
            </w:rPr>
            <w:t xml:space="preserve">turn in the number of bin requests. As Werribee and Tarneit start to experience stronger growth in the next few years </w:t>
          </w:r>
          <w:r w:rsidR="00FA442B" w:rsidRPr="00FA442B">
            <w:rPr>
              <w:rFonts w:eastAsia="Times New Roman" w:cstheme="minorHAnsi"/>
              <w:color w:val="000000"/>
              <w:lang w:val="en"/>
            </w:rPr>
            <w:t>further upturns may be expected.</w:t>
          </w:r>
        </w:p>
        <w:p w14:paraId="526C3A6D" w14:textId="77777777" w:rsidR="00FA442B" w:rsidRPr="00FA442B" w:rsidRDefault="007F01BA" w:rsidP="007F01BA">
          <w:pPr>
            <w:pStyle w:val="ListParagraph"/>
            <w:numPr>
              <w:ilvl w:val="0"/>
              <w:numId w:val="6"/>
            </w:numPr>
            <w:shd w:val="clear" w:color="auto" w:fill="FFFFFF"/>
            <w:spacing w:after="120"/>
            <w:jc w:val="both"/>
          </w:pPr>
          <w:r w:rsidRPr="00FA442B">
            <w:rPr>
              <w:rFonts w:eastAsia="Times New Roman" w:cstheme="minorHAnsi"/>
              <w:color w:val="000000"/>
              <w:lang w:val="en"/>
            </w:rPr>
            <w:lastRenderedPageBreak/>
            <w:t xml:space="preserve">Werribee has seen </w:t>
          </w:r>
          <w:r w:rsidR="00FA442B" w:rsidRPr="00FA442B">
            <w:rPr>
              <w:rFonts w:eastAsia="Times New Roman" w:cstheme="minorHAnsi"/>
              <w:color w:val="000000"/>
              <w:lang w:val="en"/>
            </w:rPr>
            <w:t>a sharp decline in births in the most recent quarter whereas in previous quarters it has seen the only consistent increases in the city. This underlines the nature of Wyndham’s growth as taking place at several growth fronts</w:t>
          </w:r>
          <w:r w:rsidRPr="00FA442B">
            <w:rPr>
              <w:rFonts w:eastAsia="Times New Roman" w:cstheme="minorHAnsi"/>
              <w:color w:val="000000"/>
              <w:lang w:val="en"/>
            </w:rPr>
            <w:t>.</w:t>
          </w:r>
        </w:p>
        <w:p w14:paraId="32086906" w14:textId="25294727" w:rsidR="0037786C" w:rsidRPr="0029682B" w:rsidRDefault="007F01BA" w:rsidP="00FA442B">
          <w:pPr>
            <w:shd w:val="clear" w:color="auto" w:fill="FFFFFF"/>
            <w:spacing w:after="120"/>
            <w:jc w:val="both"/>
            <w:rPr>
              <w:rFonts w:eastAsia="Times New Roman" w:cstheme="minorHAnsi"/>
              <w:color w:val="000000"/>
              <w:lang w:val="en"/>
            </w:rPr>
          </w:pPr>
          <w:r w:rsidRPr="00FA442B">
            <w:rPr>
              <w:highlight w:val="yellow"/>
            </w:rPr>
            <w:t xml:space="preserve"> </w:t>
          </w:r>
        </w:p>
      </w:sdtContent>
    </w:sdt>
    <w:p w14:paraId="0941DE2E" w14:textId="77777777" w:rsidR="002439DA" w:rsidRDefault="002439DA"/>
    <w:sectPr w:rsidR="002439DA" w:rsidSect="00DD5D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97427" w14:textId="77777777" w:rsidR="00A01434" w:rsidRDefault="00A01434" w:rsidP="00BE10D3">
      <w:pPr>
        <w:spacing w:after="0" w:line="240" w:lineRule="auto"/>
      </w:pPr>
      <w:r>
        <w:separator/>
      </w:r>
    </w:p>
  </w:endnote>
  <w:endnote w:type="continuationSeparator" w:id="0">
    <w:p w14:paraId="5E0B1146" w14:textId="77777777" w:rsidR="00A01434" w:rsidRDefault="00A01434" w:rsidP="00BE1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xOT-Regular">
    <w:panose1 w:val="0201050406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axOT-Medium">
    <w:panose1 w:val="0201060406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C7E22" w14:textId="77777777" w:rsidR="00A01434" w:rsidRDefault="00A01434" w:rsidP="00BE10D3">
      <w:pPr>
        <w:spacing w:after="0" w:line="240" w:lineRule="auto"/>
      </w:pPr>
      <w:r>
        <w:separator/>
      </w:r>
    </w:p>
  </w:footnote>
  <w:footnote w:type="continuationSeparator" w:id="0">
    <w:p w14:paraId="6C577278" w14:textId="77777777" w:rsidR="00A01434" w:rsidRDefault="00A01434" w:rsidP="00BE10D3">
      <w:pPr>
        <w:spacing w:after="0" w:line="240" w:lineRule="auto"/>
      </w:pPr>
      <w:r>
        <w:continuationSeparator/>
      </w:r>
    </w:p>
  </w:footnote>
  <w:footnote w:id="1">
    <w:p w14:paraId="7B443CC4" w14:textId="77777777" w:rsidR="007F01BA" w:rsidRPr="00D4311A" w:rsidRDefault="007F01BA" w:rsidP="007F01BA">
      <w:pPr>
        <w:pStyle w:val="FootnoteText"/>
        <w:rPr>
          <w:sz w:val="18"/>
          <w:szCs w:val="18"/>
        </w:rPr>
      </w:pPr>
      <w:r w:rsidRPr="00D4311A">
        <w:rPr>
          <w:rStyle w:val="FootnoteReference"/>
          <w:sz w:val="18"/>
          <w:szCs w:val="18"/>
        </w:rPr>
        <w:footnoteRef/>
      </w:r>
      <w:r w:rsidRPr="00D4311A">
        <w:rPr>
          <w:sz w:val="18"/>
          <w:szCs w:val="18"/>
        </w:rPr>
        <w:t xml:space="preserve"> Austra</w:t>
      </w:r>
      <w:r>
        <w:rPr>
          <w:sz w:val="18"/>
          <w:szCs w:val="18"/>
        </w:rPr>
        <w:t>lian Bureau of Statistics. (2018</w:t>
      </w:r>
      <w:r w:rsidRPr="00D4311A">
        <w:rPr>
          <w:sz w:val="18"/>
          <w:szCs w:val="18"/>
        </w:rPr>
        <w:t xml:space="preserve">). Regional Population Growth, Australia. Cat 3218.0. </w:t>
      </w:r>
    </w:p>
  </w:footnote>
  <w:footnote w:id="2">
    <w:p w14:paraId="03DC37D9" w14:textId="77777777" w:rsidR="007F01BA" w:rsidRPr="00D3667D" w:rsidRDefault="007F01BA" w:rsidP="007F01BA">
      <w:pPr>
        <w:spacing w:after="0" w:line="240" w:lineRule="auto"/>
        <w:rPr>
          <w:color w:val="0000FF" w:themeColor="hyperlink"/>
          <w:sz w:val="18"/>
          <w:szCs w:val="18"/>
          <w:u w:val="single"/>
        </w:rPr>
      </w:pPr>
      <w:r w:rsidRPr="00D3667D">
        <w:rPr>
          <w:rStyle w:val="FootnoteReference"/>
          <w:sz w:val="18"/>
          <w:szCs w:val="18"/>
        </w:rPr>
        <w:footnoteRef/>
      </w:r>
      <w:r w:rsidRPr="00D3667D">
        <w:rPr>
          <w:sz w:val="18"/>
          <w:szCs w:val="18"/>
        </w:rPr>
        <w:t xml:space="preserve"> .ID Population Forecast. (201</w:t>
      </w:r>
      <w:r>
        <w:rPr>
          <w:sz w:val="18"/>
          <w:szCs w:val="18"/>
        </w:rPr>
        <w:t>8</w:t>
      </w:r>
      <w:r w:rsidRPr="00D3667D">
        <w:rPr>
          <w:sz w:val="18"/>
          <w:szCs w:val="18"/>
        </w:rPr>
        <w:t xml:space="preserve">). </w:t>
      </w:r>
      <w:r w:rsidRPr="00D3667D">
        <w:rPr>
          <w:i/>
          <w:sz w:val="18"/>
          <w:szCs w:val="18"/>
        </w:rPr>
        <w:t xml:space="preserve">City of Wyndham Population </w:t>
      </w:r>
      <w:r>
        <w:rPr>
          <w:i/>
          <w:sz w:val="18"/>
          <w:szCs w:val="18"/>
        </w:rPr>
        <w:t>and Household Forecasts 2016-2041</w:t>
      </w:r>
      <w:r w:rsidRPr="00D3667D">
        <w:rPr>
          <w:sz w:val="18"/>
          <w:szCs w:val="18"/>
        </w:rPr>
        <w:t>.</w:t>
      </w:r>
    </w:p>
  </w:footnote>
  <w:footnote w:id="3">
    <w:p w14:paraId="32573110" w14:textId="77777777" w:rsidR="007F01BA" w:rsidRPr="00D3667D" w:rsidRDefault="007F01BA" w:rsidP="007F01BA">
      <w:pPr>
        <w:pStyle w:val="FootnoteText"/>
        <w:rPr>
          <w:sz w:val="18"/>
          <w:szCs w:val="18"/>
          <w:lang w:val="en"/>
        </w:rPr>
      </w:pPr>
      <w:r w:rsidRPr="00D3667D">
        <w:rPr>
          <w:rStyle w:val="FootnoteReference"/>
          <w:sz w:val="18"/>
          <w:szCs w:val="18"/>
        </w:rPr>
        <w:footnoteRef/>
      </w:r>
      <w:r w:rsidRPr="00D3667D">
        <w:rPr>
          <w:sz w:val="18"/>
          <w:szCs w:val="18"/>
        </w:rPr>
        <w:t xml:space="preserve"> </w:t>
      </w:r>
      <w:r>
        <w:rPr>
          <w:b/>
          <w:sz w:val="18"/>
          <w:szCs w:val="18"/>
          <w:lang w:val="en"/>
        </w:rPr>
        <w:t>N</w:t>
      </w:r>
      <w:r w:rsidRPr="00D3667D">
        <w:rPr>
          <w:b/>
          <w:sz w:val="18"/>
          <w:szCs w:val="18"/>
          <w:lang w:val="en"/>
        </w:rPr>
        <w:t>ew dwelling approvals</w:t>
      </w:r>
      <w:r>
        <w:rPr>
          <w:sz w:val="18"/>
          <w:szCs w:val="18"/>
          <w:lang w:val="en"/>
        </w:rPr>
        <w:t xml:space="preserve"> identify </w:t>
      </w:r>
      <w:r w:rsidRPr="00D3667D">
        <w:rPr>
          <w:sz w:val="18"/>
          <w:szCs w:val="18"/>
          <w:lang w:val="en"/>
        </w:rPr>
        <w:t xml:space="preserve">where dwelling permits have been approved in the quarter. </w:t>
      </w:r>
      <w:r>
        <w:rPr>
          <w:sz w:val="18"/>
          <w:szCs w:val="18"/>
          <w:lang w:val="en"/>
        </w:rPr>
        <w:t>T</w:t>
      </w:r>
      <w:r w:rsidRPr="00D3667D">
        <w:rPr>
          <w:sz w:val="18"/>
          <w:szCs w:val="18"/>
          <w:lang w:val="en"/>
        </w:rPr>
        <w:t>his indicator identifies areas where residents are expected to move in the next year.</w:t>
      </w:r>
      <w:r>
        <w:rPr>
          <w:sz w:val="18"/>
          <w:szCs w:val="18"/>
          <w:lang w:val="en"/>
        </w:rPr>
        <w:t xml:space="preserve"> This data </w:t>
      </w:r>
      <w:r w:rsidRPr="00D3667D">
        <w:rPr>
          <w:sz w:val="18"/>
          <w:szCs w:val="18"/>
          <w:lang w:val="en"/>
        </w:rPr>
        <w:t xml:space="preserve">is available at the suburb level. Once residents move into a new dwelling they lodge a </w:t>
      </w:r>
      <w:r w:rsidRPr="00D3667D">
        <w:rPr>
          <w:b/>
          <w:sz w:val="18"/>
          <w:szCs w:val="18"/>
          <w:lang w:val="en"/>
        </w:rPr>
        <w:t>request for new garbage services</w:t>
      </w:r>
      <w:r w:rsidRPr="00D3667D">
        <w:rPr>
          <w:sz w:val="18"/>
          <w:szCs w:val="18"/>
          <w:lang w:val="en"/>
        </w:rPr>
        <w:t xml:space="preserve">. This data is available at the address level. Lastly, </w:t>
      </w:r>
      <w:r w:rsidRPr="00D3667D">
        <w:rPr>
          <w:b/>
          <w:sz w:val="18"/>
          <w:szCs w:val="18"/>
          <w:lang w:val="en"/>
        </w:rPr>
        <w:t>birth notices</w:t>
      </w:r>
      <w:r w:rsidRPr="00D3667D">
        <w:rPr>
          <w:sz w:val="18"/>
          <w:szCs w:val="18"/>
          <w:lang w:val="en"/>
        </w:rPr>
        <w:t xml:space="preserve"> </w:t>
      </w:r>
      <w:r>
        <w:rPr>
          <w:sz w:val="18"/>
          <w:szCs w:val="18"/>
          <w:lang w:val="en"/>
        </w:rPr>
        <w:t xml:space="preserve">are </w:t>
      </w:r>
      <w:r w:rsidRPr="00D3667D">
        <w:rPr>
          <w:sz w:val="18"/>
          <w:szCs w:val="18"/>
          <w:lang w:val="en"/>
        </w:rPr>
        <w:t>available in terms of the number of births that have been registered with centres.</w:t>
      </w:r>
    </w:p>
    <w:p w14:paraId="5601F340" w14:textId="77777777" w:rsidR="007F01BA" w:rsidRDefault="007F01BA" w:rsidP="007F01B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343"/>
    <w:multiLevelType w:val="hybridMultilevel"/>
    <w:tmpl w:val="AA027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32B5B"/>
    <w:multiLevelType w:val="hybridMultilevel"/>
    <w:tmpl w:val="E9C4C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F7B86"/>
    <w:multiLevelType w:val="hybridMultilevel"/>
    <w:tmpl w:val="190E77CA"/>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E3F1296"/>
    <w:multiLevelType w:val="hybridMultilevel"/>
    <w:tmpl w:val="6638F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CF281B"/>
    <w:multiLevelType w:val="hybridMultilevel"/>
    <w:tmpl w:val="8BF4B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9A5D06"/>
    <w:multiLevelType w:val="hybridMultilevel"/>
    <w:tmpl w:val="DAD6DBB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0D3"/>
    <w:rsid w:val="000252CA"/>
    <w:rsid w:val="00025864"/>
    <w:rsid w:val="000950B9"/>
    <w:rsid w:val="000B35B3"/>
    <w:rsid w:val="000E318D"/>
    <w:rsid w:val="001221CC"/>
    <w:rsid w:val="00136D3D"/>
    <w:rsid w:val="001409EC"/>
    <w:rsid w:val="001567F3"/>
    <w:rsid w:val="00180D1E"/>
    <w:rsid w:val="00184B26"/>
    <w:rsid w:val="001A48CE"/>
    <w:rsid w:val="001B7EC5"/>
    <w:rsid w:val="001D1A3D"/>
    <w:rsid w:val="001D52F0"/>
    <w:rsid w:val="001F08BA"/>
    <w:rsid w:val="002439DA"/>
    <w:rsid w:val="00252DAB"/>
    <w:rsid w:val="00266D22"/>
    <w:rsid w:val="00291865"/>
    <w:rsid w:val="0029682B"/>
    <w:rsid w:val="002A4CA2"/>
    <w:rsid w:val="002C5DE1"/>
    <w:rsid w:val="003122AC"/>
    <w:rsid w:val="00353E94"/>
    <w:rsid w:val="0037786C"/>
    <w:rsid w:val="00380561"/>
    <w:rsid w:val="00386EB3"/>
    <w:rsid w:val="00397B47"/>
    <w:rsid w:val="003A1E6D"/>
    <w:rsid w:val="003B5817"/>
    <w:rsid w:val="004136FF"/>
    <w:rsid w:val="004155C2"/>
    <w:rsid w:val="00437FB3"/>
    <w:rsid w:val="00446D84"/>
    <w:rsid w:val="00457EFD"/>
    <w:rsid w:val="004A5BC0"/>
    <w:rsid w:val="004B52CD"/>
    <w:rsid w:val="0050423A"/>
    <w:rsid w:val="00507F8C"/>
    <w:rsid w:val="005864F4"/>
    <w:rsid w:val="0059420F"/>
    <w:rsid w:val="005D55CC"/>
    <w:rsid w:val="005E23FC"/>
    <w:rsid w:val="005F03EC"/>
    <w:rsid w:val="006214A8"/>
    <w:rsid w:val="00631507"/>
    <w:rsid w:val="00647C58"/>
    <w:rsid w:val="006B3325"/>
    <w:rsid w:val="006D4FCB"/>
    <w:rsid w:val="006F303D"/>
    <w:rsid w:val="00755872"/>
    <w:rsid w:val="00792BA9"/>
    <w:rsid w:val="007E4C82"/>
    <w:rsid w:val="007F01BA"/>
    <w:rsid w:val="00820850"/>
    <w:rsid w:val="0083541E"/>
    <w:rsid w:val="008445A1"/>
    <w:rsid w:val="00876AE8"/>
    <w:rsid w:val="00901FE9"/>
    <w:rsid w:val="009565AC"/>
    <w:rsid w:val="00965F97"/>
    <w:rsid w:val="00975353"/>
    <w:rsid w:val="009B3D1E"/>
    <w:rsid w:val="009E1522"/>
    <w:rsid w:val="009E30E0"/>
    <w:rsid w:val="00A01434"/>
    <w:rsid w:val="00A417FC"/>
    <w:rsid w:val="00A74A5F"/>
    <w:rsid w:val="00AA553C"/>
    <w:rsid w:val="00AE7317"/>
    <w:rsid w:val="00B42CBB"/>
    <w:rsid w:val="00B52367"/>
    <w:rsid w:val="00B567F7"/>
    <w:rsid w:val="00BB31EC"/>
    <w:rsid w:val="00BE10D3"/>
    <w:rsid w:val="00C52A69"/>
    <w:rsid w:val="00C61D42"/>
    <w:rsid w:val="00C856FD"/>
    <w:rsid w:val="00CB5111"/>
    <w:rsid w:val="00CF6C5F"/>
    <w:rsid w:val="00D12849"/>
    <w:rsid w:val="00D14457"/>
    <w:rsid w:val="00D26D63"/>
    <w:rsid w:val="00D31106"/>
    <w:rsid w:val="00D3667D"/>
    <w:rsid w:val="00D4311A"/>
    <w:rsid w:val="00D56EAD"/>
    <w:rsid w:val="00D654AB"/>
    <w:rsid w:val="00D80A97"/>
    <w:rsid w:val="00D90425"/>
    <w:rsid w:val="00DB1CB9"/>
    <w:rsid w:val="00DD5D09"/>
    <w:rsid w:val="00E11B20"/>
    <w:rsid w:val="00E166A7"/>
    <w:rsid w:val="00E53DB1"/>
    <w:rsid w:val="00E85B7D"/>
    <w:rsid w:val="00E864DE"/>
    <w:rsid w:val="00E949C5"/>
    <w:rsid w:val="00E97F89"/>
    <w:rsid w:val="00EE502D"/>
    <w:rsid w:val="00EF5A7B"/>
    <w:rsid w:val="00F25DDC"/>
    <w:rsid w:val="00F47257"/>
    <w:rsid w:val="00F555EB"/>
    <w:rsid w:val="00FA44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75DC3"/>
  <w15:docId w15:val="{C777EA68-8F9B-43C0-B06F-34D91B0A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E10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0D3"/>
  </w:style>
  <w:style w:type="paragraph" w:styleId="ListParagraph">
    <w:name w:val="List Paragraph"/>
    <w:basedOn w:val="Normal"/>
    <w:uiPriority w:val="34"/>
    <w:qFormat/>
    <w:rsid w:val="00BE10D3"/>
    <w:pPr>
      <w:ind w:left="720"/>
      <w:contextualSpacing/>
    </w:pPr>
    <w:rPr>
      <w:rFonts w:eastAsiaTheme="minorEastAsia"/>
      <w:lang w:eastAsia="en-AU"/>
    </w:rPr>
  </w:style>
  <w:style w:type="paragraph" w:styleId="FootnoteText">
    <w:name w:val="footnote text"/>
    <w:basedOn w:val="Normal"/>
    <w:link w:val="FootnoteTextChar"/>
    <w:uiPriority w:val="99"/>
    <w:semiHidden/>
    <w:unhideWhenUsed/>
    <w:rsid w:val="00BE10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10D3"/>
    <w:rPr>
      <w:sz w:val="20"/>
      <w:szCs w:val="20"/>
    </w:rPr>
  </w:style>
  <w:style w:type="character" w:styleId="FootnoteReference">
    <w:name w:val="footnote reference"/>
    <w:basedOn w:val="DefaultParagraphFont"/>
    <w:uiPriority w:val="99"/>
    <w:semiHidden/>
    <w:unhideWhenUsed/>
    <w:rsid w:val="00BE10D3"/>
    <w:rPr>
      <w:vertAlign w:val="superscript"/>
    </w:rPr>
  </w:style>
  <w:style w:type="paragraph" w:styleId="BalloonText">
    <w:name w:val="Balloon Text"/>
    <w:basedOn w:val="Normal"/>
    <w:link w:val="BalloonTextChar"/>
    <w:uiPriority w:val="99"/>
    <w:semiHidden/>
    <w:unhideWhenUsed/>
    <w:rsid w:val="00BE1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0D3"/>
    <w:rPr>
      <w:rFonts w:ascii="Tahoma" w:hAnsi="Tahoma" w:cs="Tahoma"/>
      <w:sz w:val="16"/>
      <w:szCs w:val="16"/>
    </w:rPr>
  </w:style>
  <w:style w:type="character" w:styleId="CommentReference">
    <w:name w:val="annotation reference"/>
    <w:basedOn w:val="DefaultParagraphFont"/>
    <w:uiPriority w:val="99"/>
    <w:semiHidden/>
    <w:unhideWhenUsed/>
    <w:rsid w:val="00507F8C"/>
    <w:rPr>
      <w:sz w:val="16"/>
      <w:szCs w:val="16"/>
    </w:rPr>
  </w:style>
  <w:style w:type="paragraph" w:styleId="CommentText">
    <w:name w:val="annotation text"/>
    <w:basedOn w:val="Normal"/>
    <w:link w:val="CommentTextChar"/>
    <w:uiPriority w:val="99"/>
    <w:semiHidden/>
    <w:unhideWhenUsed/>
    <w:rsid w:val="00507F8C"/>
    <w:pPr>
      <w:spacing w:line="240" w:lineRule="auto"/>
    </w:pPr>
    <w:rPr>
      <w:sz w:val="20"/>
      <w:szCs w:val="20"/>
    </w:rPr>
  </w:style>
  <w:style w:type="character" w:customStyle="1" w:styleId="CommentTextChar">
    <w:name w:val="Comment Text Char"/>
    <w:basedOn w:val="DefaultParagraphFont"/>
    <w:link w:val="CommentText"/>
    <w:uiPriority w:val="99"/>
    <w:semiHidden/>
    <w:rsid w:val="00507F8C"/>
    <w:rPr>
      <w:sz w:val="20"/>
      <w:szCs w:val="20"/>
    </w:rPr>
  </w:style>
  <w:style w:type="paragraph" w:styleId="CommentSubject">
    <w:name w:val="annotation subject"/>
    <w:basedOn w:val="CommentText"/>
    <w:next w:val="CommentText"/>
    <w:link w:val="CommentSubjectChar"/>
    <w:uiPriority w:val="99"/>
    <w:semiHidden/>
    <w:unhideWhenUsed/>
    <w:rsid w:val="00507F8C"/>
    <w:rPr>
      <w:b/>
      <w:bCs/>
    </w:rPr>
  </w:style>
  <w:style w:type="character" w:customStyle="1" w:styleId="CommentSubjectChar">
    <w:name w:val="Comment Subject Char"/>
    <w:basedOn w:val="CommentTextChar"/>
    <w:link w:val="CommentSubject"/>
    <w:uiPriority w:val="99"/>
    <w:semiHidden/>
    <w:rsid w:val="00507F8C"/>
    <w:rPr>
      <w:b/>
      <w:bCs/>
      <w:sz w:val="20"/>
      <w:szCs w:val="20"/>
    </w:rPr>
  </w:style>
  <w:style w:type="character" w:styleId="Hyperlink">
    <w:name w:val="Hyperlink"/>
    <w:basedOn w:val="DefaultParagraphFont"/>
    <w:uiPriority w:val="99"/>
    <w:unhideWhenUsed/>
    <w:rsid w:val="00507F8C"/>
    <w:rPr>
      <w:color w:val="0000FF" w:themeColor="hyperlink"/>
      <w:u w:val="single"/>
    </w:rPr>
  </w:style>
  <w:style w:type="paragraph" w:styleId="Caption">
    <w:name w:val="caption"/>
    <w:basedOn w:val="Normal"/>
    <w:next w:val="Normal"/>
    <w:uiPriority w:val="35"/>
    <w:semiHidden/>
    <w:unhideWhenUsed/>
    <w:qFormat/>
    <w:rsid w:val="00647C5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E7556-1077-47E2-BC26-C6DC009A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63842D00</Template>
  <TotalTime>0</TotalTime>
  <Pages>4</Pages>
  <Words>456</Words>
  <Characters>2600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Green</dc:creator>
  <cp:lastModifiedBy>Robin Visser</cp:lastModifiedBy>
  <cp:revision>2</cp:revision>
  <cp:lastPrinted>2017-11-27T23:04:00Z</cp:lastPrinted>
  <dcterms:created xsi:type="dcterms:W3CDTF">2018-11-12T05:18:00Z</dcterms:created>
  <dcterms:modified xsi:type="dcterms:W3CDTF">2018-11-12T05:18:00Z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A1887708</vt:lpwstr>
  </property>
  <property fmtid="{D5CDD505-2E9C-101B-9397-08002B2CF9AE}" pid="4" name="Objective-Title">
    <vt:lpwstr>Quarterly Growth Indicators July-September 2018</vt:lpwstr>
  </property>
  <property fmtid="{D5CDD505-2E9C-101B-9397-08002B2CF9AE}" pid="5" name="Objective-Comment">
    <vt:lpwstr/>
  </property>
  <property fmtid="{D5CDD505-2E9C-101B-9397-08002B2CF9AE}" pid="6" name="Objective-CreationStamp">
    <vt:filetime>2017-11-21T05:47:25Z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2018-11-12T05:17:21Z</vt:filetime>
  </property>
  <property fmtid="{D5CDD505-2E9C-101B-9397-08002B2CF9AE}" pid="10" name="Objective-ModificationStamp">
    <vt:filetime>2018-11-12T05:17:21Z</vt:filetime>
  </property>
  <property fmtid="{D5CDD505-2E9C-101B-9397-08002B2CF9AE}" pid="11" name="Objective-Owner">
    <vt:lpwstr>Robin Visser</vt:lpwstr>
  </property>
  <property fmtid="{D5CDD505-2E9C-101B-9397-08002B2CF9AE}" pid="12" name="Objective-Path">
    <vt:lpwstr>Objective Global Folder:Corporate Management:Department - Strategy &amp; Stakeholder Engagement - Strategy &amp; Stakeholder Engagement:Research &amp; Materials:Publications:</vt:lpwstr>
  </property>
  <property fmtid="{D5CDD505-2E9C-101B-9397-08002B2CF9AE}" pid="13" name="Objective-Parent">
    <vt:lpwstr>Publications</vt:lpwstr>
  </property>
  <property fmtid="{D5CDD505-2E9C-101B-9397-08002B2CF9AE}" pid="14" name="Objective-State">
    <vt:lpwstr>Published</vt:lpwstr>
  </property>
  <property fmtid="{D5CDD505-2E9C-101B-9397-08002B2CF9AE}" pid="15" name="Objective-Version">
    <vt:lpwstr>20.0</vt:lpwstr>
  </property>
  <property fmtid="{D5CDD505-2E9C-101B-9397-08002B2CF9AE}" pid="16" name="Objective-VersionNumber">
    <vt:r8>20</vt:r8>
  </property>
  <property fmtid="{D5CDD505-2E9C-101B-9397-08002B2CF9AE}" pid="17" name="Objective-VersionComment">
    <vt:lpwstr/>
  </property>
  <property fmtid="{D5CDD505-2E9C-101B-9397-08002B2CF9AE}" pid="18" name="Objective-FileNumber">
    <vt:lpwstr>qA276698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&lt;not set&gt;,Staff Wyndham City</vt:lpwstr>
  </property>
  <property fmtid="{D5CDD505-2E9C-101B-9397-08002B2CF9AE}" pid="24" name="Objective-Auth or Addressee NAR No [system]">
    <vt:lpwstr>544420,544420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