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BC8" w:rsidRPr="00843EF1" w:rsidRDefault="00430DB0" w:rsidP="00F4181E">
      <w:pPr>
        <w:pStyle w:val="Header02"/>
        <w:rPr>
          <w:rFonts w:asciiTheme="majorHAnsi" w:hAnsiTheme="majorHAnsi"/>
        </w:rPr>
      </w:pPr>
      <w:r w:rsidRPr="00843EF1">
        <w:rPr>
          <w:rFonts w:asciiTheme="majorHAnsi" w:hAnsiTheme="majorHAnsi"/>
          <w:lang w:val="en-AU" w:eastAsia="en-A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9FF706" wp14:editId="3ED47985">
                <wp:simplePos x="0" y="0"/>
                <wp:positionH relativeFrom="column">
                  <wp:posOffset>0</wp:posOffset>
                </wp:positionH>
                <wp:positionV relativeFrom="page">
                  <wp:posOffset>1728470</wp:posOffset>
                </wp:positionV>
                <wp:extent cx="3959860" cy="1044000"/>
                <wp:effectExtent l="0" t="0" r="2540" b="22860"/>
                <wp:wrapThrough wrapText="bothSides">
                  <wp:wrapPolygon edited="0">
                    <wp:start x="0" y="0"/>
                    <wp:lineTo x="0" y="21547"/>
                    <wp:lineTo x="21475" y="21547"/>
                    <wp:lineTo x="21475" y="0"/>
                    <wp:lineTo x="0" y="0"/>
                  </wp:wrapPolygon>
                </wp:wrapThrough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10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0DE6" w:rsidRDefault="00843EF1" w:rsidP="00066BC8">
                            <w:pPr>
                              <w:pStyle w:val="Header01"/>
                            </w:pPr>
                            <w:r>
                              <w:t>Tarneit</w:t>
                            </w:r>
                          </w:p>
                          <w:p w:rsidR="00FC0DE6" w:rsidRDefault="00843EF1" w:rsidP="00843EF1">
                            <w:pPr>
                              <w:pStyle w:val="IntroPara01"/>
                            </w:pPr>
                            <w:r>
                              <w:t>Suburb profile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9FF7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36.1pt;width:311.8pt;height:82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" filled="f" stroked="f">
                <v:textbox inset="0,0,0,0">
                  <w:txbxContent>
                    <w:p w:rsidR="00FC0DE6" w:rsidRDefault="00843EF1" w:rsidP="00066BC8">
                      <w:pPr>
                        <w:pStyle w:val="Header01"/>
                      </w:pPr>
                      <w:r>
                        <w:t>Tarneit</w:t>
                      </w:r>
                    </w:p>
                    <w:p w:rsidR="00FC0DE6" w:rsidRDefault="00843EF1" w:rsidP="00843EF1">
                      <w:pPr>
                        <w:pStyle w:val="IntroPara01"/>
                      </w:pPr>
                      <w:r>
                        <w:t>Suburb profile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E62FDC" w:rsidRPr="00843EF1">
        <w:rPr>
          <w:rFonts w:asciiTheme="majorHAnsi" w:hAnsiTheme="majorHAnsi"/>
        </w:rPr>
        <w:t xml:space="preserve"> </w:t>
      </w:r>
    </w:p>
    <w:p w:rsidR="00F4181E" w:rsidRPr="00843EF1" w:rsidRDefault="00F4181E" w:rsidP="00C723DB">
      <w:pPr>
        <w:pStyle w:val="Body01"/>
        <w:rPr>
          <w:rFonts w:asciiTheme="majorHAnsi" w:hAnsiTheme="majorHAnsi"/>
        </w:rPr>
      </w:pPr>
    </w:p>
    <w:p w:rsidR="00F4181E" w:rsidRPr="00843EF1" w:rsidRDefault="00F4181E" w:rsidP="00C723DB">
      <w:pPr>
        <w:pStyle w:val="Body01"/>
        <w:rPr>
          <w:rFonts w:asciiTheme="majorHAnsi" w:hAnsiTheme="majorHAnsi"/>
        </w:rPr>
      </w:pPr>
    </w:p>
    <w:p w:rsidR="00F4181E" w:rsidRPr="00843EF1" w:rsidRDefault="00F4181E" w:rsidP="00C723DB">
      <w:pPr>
        <w:pStyle w:val="Body01"/>
        <w:rPr>
          <w:rFonts w:asciiTheme="majorHAnsi" w:hAnsiTheme="majorHAnsi"/>
        </w:rPr>
      </w:pPr>
    </w:p>
    <w:p w:rsidR="00F4181E" w:rsidRPr="00843EF1" w:rsidRDefault="00F4181E" w:rsidP="00C723DB">
      <w:pPr>
        <w:pStyle w:val="Body01"/>
        <w:rPr>
          <w:rFonts w:asciiTheme="majorHAnsi" w:hAnsiTheme="majorHAnsi"/>
        </w:rPr>
      </w:pPr>
    </w:p>
    <w:p w:rsidR="00F4181E" w:rsidRPr="00843EF1" w:rsidRDefault="00F4181E" w:rsidP="00C723DB">
      <w:pPr>
        <w:pStyle w:val="Body01"/>
        <w:rPr>
          <w:rFonts w:asciiTheme="majorHAnsi" w:hAnsiTheme="majorHAnsi"/>
        </w:rPr>
      </w:pPr>
    </w:p>
    <w:p w:rsidR="00F4181E" w:rsidRPr="00843EF1" w:rsidRDefault="00F4181E" w:rsidP="00C723DB">
      <w:pPr>
        <w:pStyle w:val="Body01"/>
        <w:rPr>
          <w:rFonts w:asciiTheme="majorHAnsi" w:hAnsiTheme="majorHAnsi"/>
        </w:rPr>
      </w:pPr>
    </w:p>
    <w:p w:rsidR="00843EF1" w:rsidRPr="00843EF1" w:rsidRDefault="00843EF1" w:rsidP="00843EF1">
      <w:pPr>
        <w:spacing w:after="120"/>
        <w:rPr>
          <w:rFonts w:asciiTheme="majorHAnsi" w:hAnsiTheme="majorHAnsi"/>
        </w:rPr>
      </w:pPr>
      <w:r w:rsidRPr="00843EF1">
        <w:rPr>
          <w:rFonts w:asciiTheme="majorHAnsi" w:hAnsiTheme="majorHAnsi"/>
        </w:rPr>
        <w:t xml:space="preserve">Tarneit is a rapidly expanding multicultural suburb located in Central Wyndham. Over the next 20 years, the population of Tarneit is forecast to grow exponentially.  A larger proportion of its population were born overseas compared to Wyndham, and a significant proportion of these residents were from non-English speaking countries. </w:t>
      </w:r>
    </w:p>
    <w:p w:rsidR="00843EF1" w:rsidRPr="00843EF1" w:rsidRDefault="00843EF1" w:rsidP="00843EF1">
      <w:pPr>
        <w:spacing w:after="0"/>
        <w:rPr>
          <w:rFonts w:asciiTheme="majorHAnsi" w:hAnsiTheme="majorHAnsi"/>
        </w:rPr>
      </w:pPr>
      <w:r w:rsidRPr="00843EF1">
        <w:rPr>
          <w:rFonts w:asciiTheme="majorHAnsi" w:hAnsiTheme="majorHAnsi"/>
          <w:b/>
        </w:rPr>
        <w:t>Population</w:t>
      </w:r>
    </w:p>
    <w:p w:rsidR="00843EF1" w:rsidRPr="00843EF1" w:rsidRDefault="00843EF1" w:rsidP="00843EF1">
      <w:pPr>
        <w:spacing w:after="120"/>
        <w:rPr>
          <w:rFonts w:asciiTheme="majorHAnsi" w:hAnsiTheme="majorHAnsi"/>
        </w:rPr>
      </w:pPr>
      <w:r w:rsidRPr="00843EF1">
        <w:rPr>
          <w:rFonts w:asciiTheme="majorHAnsi" w:hAnsiTheme="majorHAnsi"/>
        </w:rPr>
        <w:t>The population of Tarneit has increased by over 12,000 residents between 2011 and 2016. The current population of Tarneit is 3</w:t>
      </w:r>
      <w:r w:rsidR="00B21C0B">
        <w:rPr>
          <w:rFonts w:asciiTheme="majorHAnsi" w:hAnsiTheme="majorHAnsi"/>
        </w:rPr>
        <w:t>5,134 people; approximately 14</w:t>
      </w:r>
      <w:r w:rsidRPr="00843EF1">
        <w:rPr>
          <w:rFonts w:asciiTheme="majorHAnsi" w:hAnsiTheme="majorHAnsi"/>
        </w:rPr>
        <w:t>% of the total Wyndham population.</w:t>
      </w:r>
    </w:p>
    <w:p w:rsidR="00843EF1" w:rsidRPr="00843EF1" w:rsidRDefault="00843EF1" w:rsidP="00843EF1">
      <w:pPr>
        <w:spacing w:after="0"/>
        <w:rPr>
          <w:rFonts w:asciiTheme="majorHAnsi" w:hAnsiTheme="majorHAnsi"/>
          <w:b/>
        </w:rPr>
      </w:pPr>
      <w:r w:rsidRPr="00843EF1">
        <w:rPr>
          <w:rFonts w:asciiTheme="majorHAnsi" w:hAnsiTheme="majorHAnsi"/>
          <w:b/>
        </w:rPr>
        <w:t>Forecast</w:t>
      </w:r>
      <w:r w:rsidR="000D488D">
        <w:rPr>
          <w:rStyle w:val="EndnoteReference"/>
          <w:rFonts w:asciiTheme="majorHAnsi" w:hAnsiTheme="majorHAnsi"/>
          <w:b/>
        </w:rPr>
        <w:endnoteReference w:id="1"/>
      </w:r>
    </w:p>
    <w:p w:rsidR="00843EF1" w:rsidRPr="00843EF1" w:rsidRDefault="00843EF1" w:rsidP="00843EF1">
      <w:pPr>
        <w:spacing w:after="120"/>
        <w:rPr>
          <w:rFonts w:asciiTheme="majorHAnsi" w:hAnsiTheme="majorHAnsi"/>
        </w:rPr>
      </w:pPr>
      <w:r w:rsidRPr="00843EF1">
        <w:rPr>
          <w:rFonts w:asciiTheme="majorHAnsi" w:hAnsiTheme="majorHAnsi"/>
        </w:rPr>
        <w:t xml:space="preserve">The population of Tarneit is forecast to increase by </w:t>
      </w:r>
      <w:r w:rsidR="00B21C0B">
        <w:rPr>
          <w:rFonts w:asciiTheme="majorHAnsi" w:hAnsiTheme="majorHAnsi"/>
        </w:rPr>
        <w:t>229.5</w:t>
      </w:r>
      <w:r w:rsidRPr="00843EF1">
        <w:rPr>
          <w:rFonts w:asciiTheme="majorHAnsi" w:hAnsiTheme="majorHAnsi"/>
        </w:rPr>
        <w:t>% between 201</w:t>
      </w:r>
      <w:r w:rsidR="00B21C0B">
        <w:rPr>
          <w:rFonts w:asciiTheme="majorHAnsi" w:hAnsiTheme="majorHAnsi"/>
        </w:rPr>
        <w:t>8 and 2041</w:t>
      </w:r>
      <w:r w:rsidRPr="00843EF1">
        <w:rPr>
          <w:rFonts w:asciiTheme="majorHAnsi" w:hAnsiTheme="majorHAnsi"/>
        </w:rPr>
        <w:t>. In 20 years, the number of people living in Tarneit will increase to</w:t>
      </w:r>
      <w:r w:rsidR="00741636">
        <w:rPr>
          <w:rFonts w:asciiTheme="majorHAnsi" w:hAnsiTheme="majorHAnsi"/>
        </w:rPr>
        <w:t xml:space="preserve"> </w:t>
      </w:r>
      <w:r w:rsidR="00B21C0B">
        <w:rPr>
          <w:rFonts w:asciiTheme="majorHAnsi" w:hAnsiTheme="majorHAnsi"/>
        </w:rPr>
        <w:t>115,763</w:t>
      </w:r>
      <w:r w:rsidRPr="00843EF1">
        <w:rPr>
          <w:rFonts w:asciiTheme="majorHAnsi" w:hAnsiTheme="majorHAnsi"/>
        </w:rPr>
        <w:t xml:space="preserve">. </w:t>
      </w:r>
      <w:r w:rsidR="00D83C88">
        <w:rPr>
          <w:rFonts w:asciiTheme="majorHAnsi" w:hAnsiTheme="majorHAnsi"/>
        </w:rPr>
        <w:t xml:space="preserve">In the 5 years between 2031 and 2036, the population of Tarneit is forecast to increase by 16,886 people, on average 3,377 residents each year.  </w:t>
      </w:r>
    </w:p>
    <w:p w:rsidR="00843EF1" w:rsidRPr="00843EF1" w:rsidRDefault="00843EF1" w:rsidP="00843EF1">
      <w:pPr>
        <w:spacing w:after="0"/>
        <w:rPr>
          <w:rFonts w:asciiTheme="majorHAnsi" w:hAnsiTheme="majorHAnsi"/>
        </w:rPr>
      </w:pPr>
      <w:r w:rsidRPr="00843EF1">
        <w:rPr>
          <w:rFonts w:asciiTheme="majorHAnsi" w:hAnsiTheme="majorHAnsi"/>
          <w:b/>
        </w:rPr>
        <w:t>Age</w:t>
      </w:r>
    </w:p>
    <w:p w:rsidR="00843EF1" w:rsidRPr="00843EF1" w:rsidRDefault="00843EF1" w:rsidP="00843EF1">
      <w:pPr>
        <w:spacing w:after="120"/>
        <w:rPr>
          <w:rFonts w:asciiTheme="majorHAnsi" w:hAnsiTheme="majorHAnsi"/>
        </w:rPr>
      </w:pPr>
      <w:r w:rsidRPr="00843EF1">
        <w:rPr>
          <w:rFonts w:asciiTheme="majorHAnsi" w:hAnsiTheme="majorHAnsi"/>
        </w:rPr>
        <w:t>The median age of Tarneit residents is 30 years, which is younger than the Wyndham median age of 32 years. Tarneit has a larger proportion of young residents than Wyndham, in particular those aged 0-</w:t>
      </w:r>
      <w:r w:rsidR="006C58CB">
        <w:rPr>
          <w:rFonts w:asciiTheme="majorHAnsi" w:hAnsiTheme="majorHAnsi"/>
        </w:rPr>
        <w:t>9</w:t>
      </w:r>
      <w:r w:rsidRPr="00843EF1">
        <w:rPr>
          <w:rFonts w:asciiTheme="majorHAnsi" w:hAnsiTheme="majorHAnsi"/>
        </w:rPr>
        <w:t xml:space="preserve"> years old (</w:t>
      </w:r>
      <w:r w:rsidR="006C58CB">
        <w:rPr>
          <w:rFonts w:asciiTheme="majorHAnsi" w:hAnsiTheme="majorHAnsi"/>
        </w:rPr>
        <w:t>2</w:t>
      </w:r>
      <w:r w:rsidRPr="00843EF1">
        <w:rPr>
          <w:rFonts w:asciiTheme="majorHAnsi" w:hAnsiTheme="majorHAnsi"/>
        </w:rPr>
        <w:t>2% and 1</w:t>
      </w:r>
      <w:r w:rsidR="006C58CB">
        <w:rPr>
          <w:rFonts w:asciiTheme="majorHAnsi" w:hAnsiTheme="majorHAnsi"/>
        </w:rPr>
        <w:t>8</w:t>
      </w:r>
      <w:r w:rsidRPr="00843EF1">
        <w:rPr>
          <w:rFonts w:asciiTheme="majorHAnsi" w:hAnsiTheme="majorHAnsi"/>
        </w:rPr>
        <w:t xml:space="preserve">% respectively).  </w:t>
      </w:r>
    </w:p>
    <w:p w:rsidR="00843EF1" w:rsidRPr="00843EF1" w:rsidRDefault="00843EF1" w:rsidP="00843EF1">
      <w:pPr>
        <w:spacing w:after="0"/>
        <w:rPr>
          <w:rFonts w:asciiTheme="majorHAnsi" w:hAnsiTheme="majorHAnsi"/>
        </w:rPr>
      </w:pPr>
      <w:r w:rsidRPr="00843EF1">
        <w:rPr>
          <w:rFonts w:asciiTheme="majorHAnsi" w:hAnsiTheme="majorHAnsi"/>
          <w:b/>
        </w:rPr>
        <w:t>Births</w:t>
      </w:r>
    </w:p>
    <w:p w:rsidR="00843EF1" w:rsidRPr="00843EF1" w:rsidRDefault="00843EF1" w:rsidP="00843EF1">
      <w:pPr>
        <w:spacing w:after="120"/>
        <w:rPr>
          <w:rFonts w:asciiTheme="majorHAnsi" w:hAnsiTheme="majorHAnsi"/>
        </w:rPr>
      </w:pPr>
      <w:r w:rsidRPr="00843EF1">
        <w:rPr>
          <w:rFonts w:asciiTheme="majorHAnsi" w:hAnsiTheme="majorHAnsi"/>
        </w:rPr>
        <w:t>The number of births to</w:t>
      </w:r>
      <w:r w:rsidR="00B21C0B">
        <w:rPr>
          <w:rFonts w:asciiTheme="majorHAnsi" w:hAnsiTheme="majorHAnsi"/>
        </w:rPr>
        <w:t xml:space="preserve"> parents living in Tarneit was 945</w:t>
      </w:r>
      <w:r w:rsidRPr="00843EF1">
        <w:rPr>
          <w:rFonts w:asciiTheme="majorHAnsi" w:hAnsiTheme="majorHAnsi"/>
        </w:rPr>
        <w:t xml:space="preserve"> in 201</w:t>
      </w:r>
      <w:r w:rsidR="00B21C0B">
        <w:rPr>
          <w:rFonts w:asciiTheme="majorHAnsi" w:hAnsiTheme="majorHAnsi"/>
        </w:rPr>
        <w:t>6</w:t>
      </w:r>
      <w:r w:rsidRPr="00843EF1">
        <w:rPr>
          <w:rFonts w:asciiTheme="majorHAnsi" w:hAnsiTheme="majorHAnsi"/>
        </w:rPr>
        <w:t xml:space="preserve">, an increase of </w:t>
      </w:r>
      <w:r w:rsidR="00B21C0B">
        <w:rPr>
          <w:rFonts w:asciiTheme="majorHAnsi" w:hAnsiTheme="majorHAnsi"/>
        </w:rPr>
        <w:t>16% since 2015</w:t>
      </w:r>
      <w:r w:rsidRPr="00843EF1">
        <w:rPr>
          <w:rFonts w:asciiTheme="majorHAnsi" w:hAnsiTheme="majorHAnsi"/>
        </w:rPr>
        <w:t xml:space="preserve">. </w:t>
      </w:r>
    </w:p>
    <w:p w:rsidR="00843EF1" w:rsidRPr="00843EF1" w:rsidRDefault="00843EF1" w:rsidP="00843EF1">
      <w:pPr>
        <w:spacing w:after="0"/>
        <w:rPr>
          <w:rFonts w:asciiTheme="majorHAnsi" w:hAnsiTheme="majorHAnsi"/>
          <w:b/>
        </w:rPr>
      </w:pPr>
      <w:r w:rsidRPr="00843EF1">
        <w:rPr>
          <w:rFonts w:asciiTheme="majorHAnsi" w:hAnsiTheme="majorHAnsi"/>
          <w:b/>
        </w:rPr>
        <w:t xml:space="preserve">Cultural Diversity </w:t>
      </w:r>
    </w:p>
    <w:p w:rsidR="00843EF1" w:rsidRPr="00843EF1" w:rsidRDefault="00843EF1" w:rsidP="00843EF1">
      <w:pPr>
        <w:spacing w:after="120"/>
        <w:rPr>
          <w:rFonts w:asciiTheme="majorHAnsi" w:hAnsiTheme="majorHAnsi"/>
        </w:rPr>
      </w:pPr>
      <w:r w:rsidRPr="00843EF1">
        <w:rPr>
          <w:rFonts w:asciiTheme="majorHAnsi" w:hAnsiTheme="majorHAnsi"/>
        </w:rPr>
        <w:t xml:space="preserve">Half the population of Tarneit was born overseas, compared to 42% of residents across Wyndham. Less than half of all Tarneit residents speak English at home (41%), and the most common languages other than English include Punjabi, Hindi, Gujarati, Urdu and Arabic.  </w:t>
      </w:r>
    </w:p>
    <w:p w:rsidR="00843EF1" w:rsidRPr="00843EF1" w:rsidRDefault="00843EF1" w:rsidP="00843EF1">
      <w:pPr>
        <w:spacing w:after="0"/>
        <w:rPr>
          <w:rFonts w:asciiTheme="majorHAnsi" w:hAnsiTheme="majorHAnsi"/>
        </w:rPr>
      </w:pPr>
      <w:r w:rsidRPr="00843EF1">
        <w:rPr>
          <w:rFonts w:asciiTheme="majorHAnsi" w:hAnsiTheme="majorHAnsi"/>
          <w:b/>
        </w:rPr>
        <w:t>Households</w:t>
      </w:r>
    </w:p>
    <w:p w:rsidR="00843EF1" w:rsidRPr="00843EF1" w:rsidRDefault="00843EF1" w:rsidP="00843EF1">
      <w:pPr>
        <w:spacing w:after="120"/>
        <w:rPr>
          <w:rFonts w:asciiTheme="majorHAnsi" w:hAnsiTheme="majorHAnsi"/>
        </w:rPr>
      </w:pPr>
      <w:r w:rsidRPr="00843EF1">
        <w:rPr>
          <w:rFonts w:asciiTheme="majorHAnsi" w:hAnsiTheme="majorHAnsi"/>
        </w:rPr>
        <w:t>There are 10,</w:t>
      </w:r>
      <w:r w:rsidR="00B21C0B">
        <w:rPr>
          <w:rFonts w:asciiTheme="majorHAnsi" w:hAnsiTheme="majorHAnsi"/>
        </w:rPr>
        <w:t>877</w:t>
      </w:r>
      <w:bookmarkStart w:id="0" w:name="_GoBack"/>
      <w:bookmarkEnd w:id="0"/>
      <w:r w:rsidRPr="00843EF1">
        <w:rPr>
          <w:rFonts w:asciiTheme="majorHAnsi" w:hAnsiTheme="majorHAnsi"/>
        </w:rPr>
        <w:t xml:space="preserve"> dwellings in Tarneit in 201</w:t>
      </w:r>
      <w:r w:rsidR="00B21C0B">
        <w:rPr>
          <w:rFonts w:asciiTheme="majorHAnsi" w:hAnsiTheme="majorHAnsi"/>
        </w:rPr>
        <w:t>8</w:t>
      </w:r>
      <w:r w:rsidRPr="00843EF1">
        <w:rPr>
          <w:rFonts w:asciiTheme="majorHAnsi" w:hAnsiTheme="majorHAnsi"/>
        </w:rPr>
        <w:t>, and couples with children make up approximately 53% of family types</w:t>
      </w:r>
      <w:r w:rsidR="00597496">
        <w:rPr>
          <w:rFonts w:asciiTheme="majorHAnsi" w:hAnsiTheme="majorHAnsi"/>
        </w:rPr>
        <w:t xml:space="preserve">. The average household size is </w:t>
      </w:r>
      <w:r w:rsidRPr="00843EF1">
        <w:rPr>
          <w:rFonts w:asciiTheme="majorHAnsi" w:hAnsiTheme="majorHAnsi"/>
        </w:rPr>
        <w:t>3.4 people, which is slightly higher than the average</w:t>
      </w:r>
      <w:r w:rsidR="00597496">
        <w:rPr>
          <w:rFonts w:asciiTheme="majorHAnsi" w:hAnsiTheme="majorHAnsi"/>
        </w:rPr>
        <w:t xml:space="preserve"> across</w:t>
      </w:r>
      <w:r w:rsidRPr="00843EF1">
        <w:rPr>
          <w:rFonts w:asciiTheme="majorHAnsi" w:hAnsiTheme="majorHAnsi"/>
        </w:rPr>
        <w:t xml:space="preserve"> Wyndham </w:t>
      </w:r>
      <w:r w:rsidR="00597496">
        <w:rPr>
          <w:rFonts w:asciiTheme="majorHAnsi" w:hAnsiTheme="majorHAnsi"/>
        </w:rPr>
        <w:t>(3.1 people)</w:t>
      </w:r>
    </w:p>
    <w:p w:rsidR="00843EF1" w:rsidRPr="00843EF1" w:rsidRDefault="00843EF1" w:rsidP="00843EF1">
      <w:pPr>
        <w:spacing w:after="0"/>
        <w:rPr>
          <w:rFonts w:asciiTheme="majorHAnsi" w:hAnsiTheme="majorHAnsi"/>
          <w:b/>
        </w:rPr>
      </w:pPr>
      <w:r w:rsidRPr="00843EF1">
        <w:rPr>
          <w:rFonts w:asciiTheme="majorHAnsi" w:hAnsiTheme="majorHAnsi"/>
          <w:b/>
        </w:rPr>
        <w:t>Tenure</w:t>
      </w:r>
    </w:p>
    <w:p w:rsidR="00843EF1" w:rsidRPr="00843EF1" w:rsidRDefault="00843EF1" w:rsidP="00843EF1">
      <w:pPr>
        <w:spacing w:after="120"/>
        <w:rPr>
          <w:rFonts w:asciiTheme="majorHAnsi" w:hAnsiTheme="majorHAnsi"/>
        </w:rPr>
      </w:pPr>
      <w:r w:rsidRPr="00843EF1">
        <w:rPr>
          <w:rFonts w:asciiTheme="majorHAnsi" w:hAnsiTheme="majorHAnsi"/>
        </w:rPr>
        <w:t xml:space="preserve">Compared to Wyndham, a larger proportion of Tarneit homes were owned with a mortgage in 2016 (52% and 43% respectively). The proportion of rental properties was also slightly higher in Tarneit (26%) compared to Wyndham (25%). </w:t>
      </w:r>
    </w:p>
    <w:p w:rsidR="00843EF1" w:rsidRPr="00843EF1" w:rsidRDefault="00843EF1" w:rsidP="00843EF1">
      <w:pPr>
        <w:spacing w:after="0"/>
        <w:rPr>
          <w:rFonts w:asciiTheme="majorHAnsi" w:hAnsiTheme="majorHAnsi"/>
          <w:b/>
        </w:rPr>
      </w:pPr>
      <w:r w:rsidRPr="00843EF1">
        <w:rPr>
          <w:rFonts w:asciiTheme="majorHAnsi" w:hAnsiTheme="majorHAnsi"/>
          <w:b/>
        </w:rPr>
        <w:t>Employment</w:t>
      </w:r>
    </w:p>
    <w:p w:rsidR="00843EF1" w:rsidRPr="00843EF1" w:rsidRDefault="00B92BC1" w:rsidP="00843EF1">
      <w:pPr>
        <w:spacing w:after="120"/>
        <w:rPr>
          <w:rFonts w:asciiTheme="majorHAnsi" w:hAnsiTheme="majorHAnsi"/>
        </w:rPr>
      </w:pPr>
      <w:r>
        <w:rPr>
          <w:rFonts w:asciiTheme="majorHAnsi" w:hAnsiTheme="majorHAnsi"/>
        </w:rPr>
        <w:t>Around 61</w:t>
      </w:r>
      <w:r w:rsidR="00B2392D">
        <w:rPr>
          <w:rFonts w:asciiTheme="majorHAnsi" w:hAnsiTheme="majorHAnsi"/>
        </w:rPr>
        <w:t>% of people aged 15 years and over are employed</w:t>
      </w:r>
      <w:r>
        <w:rPr>
          <w:rFonts w:asciiTheme="majorHAnsi" w:hAnsiTheme="majorHAnsi"/>
        </w:rPr>
        <w:t xml:space="preserve"> full time</w:t>
      </w:r>
      <w:r w:rsidR="00B2392D">
        <w:rPr>
          <w:rFonts w:asciiTheme="majorHAnsi" w:hAnsiTheme="majorHAnsi"/>
        </w:rPr>
        <w:t xml:space="preserve">. </w:t>
      </w:r>
      <w:r w:rsidR="00843EF1" w:rsidRPr="00843EF1">
        <w:rPr>
          <w:rFonts w:asciiTheme="majorHAnsi" w:hAnsiTheme="majorHAnsi"/>
        </w:rPr>
        <w:t xml:space="preserve">The top three industries of employment </w:t>
      </w:r>
      <w:r w:rsidR="00B2392D">
        <w:rPr>
          <w:rFonts w:asciiTheme="majorHAnsi" w:hAnsiTheme="majorHAnsi"/>
        </w:rPr>
        <w:t>are</w:t>
      </w:r>
      <w:r w:rsidR="000D488D">
        <w:rPr>
          <w:rFonts w:asciiTheme="majorHAnsi" w:hAnsiTheme="majorHAnsi"/>
        </w:rPr>
        <w:t xml:space="preserve"> health care and social assistance, </w:t>
      </w:r>
      <w:r w:rsidR="000D488D" w:rsidRPr="00843EF1">
        <w:rPr>
          <w:rFonts w:asciiTheme="majorHAnsi" w:hAnsiTheme="majorHAnsi"/>
        </w:rPr>
        <w:t>transport</w:t>
      </w:r>
      <w:r w:rsidR="00843EF1" w:rsidRPr="00843EF1">
        <w:rPr>
          <w:rFonts w:asciiTheme="majorHAnsi" w:hAnsiTheme="majorHAnsi"/>
        </w:rPr>
        <w:t>, postal and warehousing</w:t>
      </w:r>
      <w:r w:rsidR="00B2392D">
        <w:rPr>
          <w:rFonts w:asciiTheme="majorHAnsi" w:hAnsiTheme="majorHAnsi"/>
        </w:rPr>
        <w:t xml:space="preserve">, </w:t>
      </w:r>
      <w:r w:rsidR="000D488D">
        <w:rPr>
          <w:rFonts w:asciiTheme="majorHAnsi" w:hAnsiTheme="majorHAnsi"/>
        </w:rPr>
        <w:t>and retail</w:t>
      </w:r>
      <w:r w:rsidR="00843EF1" w:rsidRPr="00843EF1">
        <w:rPr>
          <w:rFonts w:asciiTheme="majorHAnsi" w:hAnsiTheme="majorHAnsi"/>
        </w:rPr>
        <w:t>.</w:t>
      </w:r>
      <w:r w:rsidR="00B2392D">
        <w:rPr>
          <w:rFonts w:asciiTheme="majorHAnsi" w:hAnsiTheme="majorHAnsi"/>
        </w:rPr>
        <w:t xml:space="preserve"> </w:t>
      </w:r>
    </w:p>
    <w:p w:rsidR="00843EF1" w:rsidRPr="00843EF1" w:rsidRDefault="00843EF1" w:rsidP="00843EF1">
      <w:pPr>
        <w:spacing w:after="0"/>
        <w:rPr>
          <w:rFonts w:asciiTheme="majorHAnsi" w:hAnsiTheme="majorHAnsi"/>
          <w:b/>
        </w:rPr>
      </w:pPr>
      <w:r w:rsidRPr="00843EF1">
        <w:rPr>
          <w:rFonts w:asciiTheme="majorHAnsi" w:hAnsiTheme="majorHAnsi"/>
          <w:b/>
        </w:rPr>
        <w:lastRenderedPageBreak/>
        <w:t>Journey to work</w:t>
      </w:r>
      <w:r w:rsidR="000D488D">
        <w:rPr>
          <w:rStyle w:val="EndnoteReference"/>
          <w:rFonts w:asciiTheme="majorHAnsi" w:hAnsiTheme="majorHAnsi"/>
          <w:b/>
        </w:rPr>
        <w:endnoteReference w:id="2"/>
      </w:r>
    </w:p>
    <w:p w:rsidR="00843EF1" w:rsidRPr="00843EF1" w:rsidRDefault="00843EF1" w:rsidP="00843EF1">
      <w:pPr>
        <w:spacing w:after="120"/>
        <w:rPr>
          <w:rFonts w:asciiTheme="majorHAnsi" w:hAnsiTheme="majorHAnsi"/>
        </w:rPr>
      </w:pPr>
      <w:r w:rsidRPr="00843EF1">
        <w:rPr>
          <w:rFonts w:asciiTheme="majorHAnsi" w:hAnsiTheme="majorHAnsi"/>
        </w:rPr>
        <w:t xml:space="preserve">Car as driver was the most popular method of travel to work for Tarneit employees in </w:t>
      </w:r>
      <w:r w:rsidR="00DD0047">
        <w:rPr>
          <w:rFonts w:asciiTheme="majorHAnsi" w:hAnsiTheme="majorHAnsi"/>
        </w:rPr>
        <w:t>2016</w:t>
      </w:r>
      <w:r w:rsidRPr="00843EF1">
        <w:rPr>
          <w:rFonts w:asciiTheme="majorHAnsi" w:hAnsiTheme="majorHAnsi"/>
        </w:rPr>
        <w:t xml:space="preserve"> (</w:t>
      </w:r>
      <w:r w:rsidR="00B957B3">
        <w:rPr>
          <w:rFonts w:asciiTheme="majorHAnsi" w:hAnsiTheme="majorHAnsi"/>
        </w:rPr>
        <w:t>67</w:t>
      </w:r>
      <w:r w:rsidRPr="00843EF1">
        <w:rPr>
          <w:rFonts w:asciiTheme="majorHAnsi" w:hAnsiTheme="majorHAnsi"/>
        </w:rPr>
        <w:t>%); train travel was the second most common method of travel (</w:t>
      </w:r>
      <w:r w:rsidR="000D488D">
        <w:rPr>
          <w:rFonts w:asciiTheme="majorHAnsi" w:hAnsiTheme="majorHAnsi"/>
        </w:rPr>
        <w:t>15.5</w:t>
      </w:r>
      <w:r w:rsidRPr="00843EF1">
        <w:rPr>
          <w:rFonts w:asciiTheme="majorHAnsi" w:hAnsiTheme="majorHAnsi"/>
        </w:rPr>
        <w:t>%).</w:t>
      </w:r>
    </w:p>
    <w:p w:rsidR="00843EF1" w:rsidRPr="00843EF1" w:rsidRDefault="00843EF1" w:rsidP="00843EF1">
      <w:pPr>
        <w:spacing w:after="0"/>
        <w:rPr>
          <w:rFonts w:asciiTheme="majorHAnsi" w:hAnsiTheme="majorHAnsi"/>
          <w:b/>
        </w:rPr>
      </w:pPr>
      <w:r w:rsidRPr="00843EF1">
        <w:rPr>
          <w:rFonts w:asciiTheme="majorHAnsi" w:hAnsiTheme="majorHAnsi"/>
          <w:b/>
        </w:rPr>
        <w:t>Education</w:t>
      </w:r>
    </w:p>
    <w:p w:rsidR="00843EF1" w:rsidRPr="00843EF1" w:rsidRDefault="00B92BC1" w:rsidP="00843EF1">
      <w:pPr>
        <w:spacing w:after="12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Education attainment is slightly higher in Tarneit than the rest of the municipality. </w:t>
      </w:r>
      <w:r w:rsidR="00843EF1" w:rsidRPr="00843EF1">
        <w:rPr>
          <w:rFonts w:asciiTheme="majorHAnsi" w:hAnsiTheme="majorHAnsi"/>
        </w:rPr>
        <w:t xml:space="preserve">In </w:t>
      </w:r>
      <w:r>
        <w:rPr>
          <w:rFonts w:asciiTheme="majorHAnsi" w:hAnsiTheme="majorHAnsi"/>
        </w:rPr>
        <w:t>2016</w:t>
      </w:r>
      <w:r w:rsidR="00843EF1" w:rsidRPr="00843EF1">
        <w:rPr>
          <w:rFonts w:asciiTheme="majorHAnsi" w:hAnsiTheme="majorHAnsi"/>
        </w:rPr>
        <w:t>, 2</w:t>
      </w:r>
      <w:r>
        <w:rPr>
          <w:rFonts w:asciiTheme="majorHAnsi" w:hAnsiTheme="majorHAnsi"/>
        </w:rPr>
        <w:t>9</w:t>
      </w:r>
      <w:r w:rsidR="00843EF1" w:rsidRPr="00843EF1">
        <w:rPr>
          <w:rFonts w:asciiTheme="majorHAnsi" w:hAnsiTheme="majorHAnsi"/>
        </w:rPr>
        <w:t xml:space="preserve">% of Tarneit residents over 15 years of age had achieved a bachelor </w:t>
      </w:r>
      <w:r>
        <w:rPr>
          <w:rFonts w:asciiTheme="majorHAnsi" w:hAnsiTheme="majorHAnsi"/>
        </w:rPr>
        <w:t>degree or higher qualification, compared to 24</w:t>
      </w:r>
      <w:r w:rsidR="00597496">
        <w:rPr>
          <w:rFonts w:asciiTheme="majorHAnsi" w:hAnsiTheme="majorHAnsi"/>
        </w:rPr>
        <w:t xml:space="preserve">% of </w:t>
      </w:r>
      <w:r w:rsidR="003B5157">
        <w:rPr>
          <w:rFonts w:asciiTheme="majorHAnsi" w:hAnsiTheme="majorHAnsi"/>
        </w:rPr>
        <w:t xml:space="preserve">residents </w:t>
      </w:r>
      <w:r w:rsidR="00597496">
        <w:rPr>
          <w:rFonts w:asciiTheme="majorHAnsi" w:hAnsiTheme="majorHAnsi"/>
        </w:rPr>
        <w:t>Wyndham</w:t>
      </w:r>
      <w:r w:rsidR="003B5157">
        <w:rPr>
          <w:rFonts w:asciiTheme="majorHAnsi" w:hAnsiTheme="majorHAnsi"/>
        </w:rPr>
        <w:t xml:space="preserve"> wide</w:t>
      </w:r>
      <w:r w:rsidR="00843EF1" w:rsidRPr="00843EF1">
        <w:rPr>
          <w:rFonts w:asciiTheme="majorHAnsi" w:hAnsiTheme="majorHAnsi"/>
        </w:rPr>
        <w:t>.</w:t>
      </w:r>
    </w:p>
    <w:p w:rsidR="00843EF1" w:rsidRPr="00843EF1" w:rsidRDefault="00843EF1" w:rsidP="00843EF1">
      <w:pPr>
        <w:spacing w:after="0"/>
        <w:rPr>
          <w:rFonts w:asciiTheme="majorHAnsi" w:hAnsiTheme="majorHAnsi"/>
          <w:b/>
        </w:rPr>
      </w:pPr>
      <w:r w:rsidRPr="00843EF1">
        <w:rPr>
          <w:rFonts w:asciiTheme="majorHAnsi" w:hAnsiTheme="majorHAnsi"/>
          <w:b/>
        </w:rPr>
        <w:t xml:space="preserve">Need for assistance </w:t>
      </w:r>
    </w:p>
    <w:p w:rsidR="00843EF1" w:rsidRPr="00843EF1" w:rsidRDefault="00843EF1" w:rsidP="00843EF1">
      <w:pPr>
        <w:spacing w:after="120"/>
        <w:rPr>
          <w:rFonts w:asciiTheme="majorHAnsi" w:hAnsiTheme="majorHAnsi"/>
        </w:rPr>
      </w:pPr>
      <w:r w:rsidRPr="00843EF1">
        <w:rPr>
          <w:rFonts w:asciiTheme="majorHAnsi" w:hAnsiTheme="majorHAnsi"/>
        </w:rPr>
        <w:t xml:space="preserve">2.7% of Tarneit residents require assistance with core activities compared to 3.9% of Wyndham residents. </w:t>
      </w:r>
    </w:p>
    <w:p w:rsidR="00843EF1" w:rsidRPr="00843EF1" w:rsidRDefault="00843EF1" w:rsidP="00843EF1">
      <w:pPr>
        <w:spacing w:after="0"/>
        <w:rPr>
          <w:rFonts w:asciiTheme="majorHAnsi" w:hAnsiTheme="majorHAnsi"/>
          <w:b/>
        </w:rPr>
      </w:pPr>
      <w:r w:rsidRPr="00843EF1">
        <w:rPr>
          <w:rFonts w:asciiTheme="majorHAnsi" w:hAnsiTheme="majorHAnsi"/>
          <w:b/>
        </w:rPr>
        <w:t>SEIFA Index of Relative Social Disadvantage (IRSD)</w:t>
      </w:r>
    </w:p>
    <w:p w:rsidR="00843EF1" w:rsidRDefault="00843EF1" w:rsidP="00843EF1">
      <w:pPr>
        <w:tabs>
          <w:tab w:val="left" w:pos="7655"/>
        </w:tabs>
        <w:spacing w:after="120"/>
        <w:rPr>
          <w:rFonts w:asciiTheme="majorHAnsi" w:hAnsiTheme="majorHAnsi"/>
        </w:rPr>
      </w:pPr>
      <w:r w:rsidRPr="00843EF1">
        <w:rPr>
          <w:rFonts w:asciiTheme="majorHAnsi" w:hAnsiTheme="majorHAnsi"/>
        </w:rPr>
        <w:t>In 201</w:t>
      </w:r>
      <w:r w:rsidR="004920A0">
        <w:rPr>
          <w:rFonts w:asciiTheme="majorHAnsi" w:hAnsiTheme="majorHAnsi"/>
        </w:rPr>
        <w:t>6</w:t>
      </w:r>
      <w:r w:rsidRPr="00843EF1">
        <w:rPr>
          <w:rFonts w:asciiTheme="majorHAnsi" w:hAnsiTheme="majorHAnsi"/>
        </w:rPr>
        <w:t xml:space="preserve"> Tarnei</w:t>
      </w:r>
      <w:r w:rsidR="004920A0">
        <w:rPr>
          <w:rFonts w:asciiTheme="majorHAnsi" w:hAnsiTheme="majorHAnsi"/>
        </w:rPr>
        <w:t>t had a SEIFA IRSD score of 1021</w:t>
      </w:r>
      <w:r w:rsidRPr="00843EF1">
        <w:rPr>
          <w:rFonts w:asciiTheme="majorHAnsi" w:hAnsiTheme="majorHAnsi"/>
        </w:rPr>
        <w:t>, which is higher</w:t>
      </w:r>
      <w:r w:rsidR="00597496">
        <w:rPr>
          <w:rFonts w:asciiTheme="majorHAnsi" w:hAnsiTheme="majorHAnsi"/>
        </w:rPr>
        <w:t xml:space="preserve"> than the Wyndham score of 10</w:t>
      </w:r>
      <w:r w:rsidR="004920A0">
        <w:rPr>
          <w:rFonts w:asciiTheme="majorHAnsi" w:hAnsiTheme="majorHAnsi"/>
        </w:rPr>
        <w:t>09</w:t>
      </w:r>
      <w:r w:rsidR="00597496">
        <w:rPr>
          <w:rFonts w:asciiTheme="majorHAnsi" w:hAnsiTheme="majorHAnsi"/>
        </w:rPr>
        <w:t xml:space="preserve">. Tarneit </w:t>
      </w:r>
      <w:r w:rsidRPr="00843EF1">
        <w:rPr>
          <w:rFonts w:asciiTheme="majorHAnsi" w:hAnsiTheme="majorHAnsi"/>
        </w:rPr>
        <w:t xml:space="preserve">is less disadvantaged than the municipality overall. </w:t>
      </w:r>
    </w:p>
    <w:p w:rsidR="004F7CE4" w:rsidRDefault="004F7CE4" w:rsidP="00843EF1">
      <w:pPr>
        <w:tabs>
          <w:tab w:val="left" w:pos="7655"/>
        </w:tabs>
        <w:spacing w:after="120"/>
        <w:rPr>
          <w:rFonts w:asciiTheme="majorHAnsi" w:hAnsiTheme="majorHAnsi"/>
        </w:rPr>
      </w:pPr>
    </w:p>
    <w:p w:rsidR="004F7CE4" w:rsidRDefault="004F7CE4" w:rsidP="00843EF1">
      <w:pPr>
        <w:tabs>
          <w:tab w:val="left" w:pos="7655"/>
        </w:tabs>
        <w:spacing w:after="120"/>
        <w:rPr>
          <w:rFonts w:asciiTheme="majorHAnsi" w:hAnsiTheme="majorHAnsi"/>
        </w:rPr>
      </w:pPr>
    </w:p>
    <w:p w:rsidR="004F7CE4" w:rsidRDefault="004F7CE4" w:rsidP="00843EF1">
      <w:pPr>
        <w:tabs>
          <w:tab w:val="left" w:pos="7655"/>
        </w:tabs>
        <w:spacing w:after="120"/>
        <w:rPr>
          <w:rFonts w:asciiTheme="majorHAnsi" w:hAnsiTheme="majorHAnsi"/>
        </w:rPr>
      </w:pPr>
    </w:p>
    <w:p w:rsidR="004F7CE4" w:rsidRDefault="004F7CE4" w:rsidP="00843EF1">
      <w:pPr>
        <w:tabs>
          <w:tab w:val="left" w:pos="7655"/>
        </w:tabs>
        <w:spacing w:after="120"/>
        <w:rPr>
          <w:rFonts w:asciiTheme="majorHAnsi" w:hAnsiTheme="majorHAnsi"/>
        </w:rPr>
      </w:pPr>
    </w:p>
    <w:p w:rsidR="004F7CE4" w:rsidRDefault="004F7CE4" w:rsidP="00843EF1">
      <w:pPr>
        <w:tabs>
          <w:tab w:val="left" w:pos="7655"/>
        </w:tabs>
        <w:spacing w:after="120"/>
        <w:rPr>
          <w:rFonts w:asciiTheme="majorHAnsi" w:hAnsiTheme="majorHAnsi"/>
        </w:rPr>
      </w:pPr>
    </w:p>
    <w:p w:rsidR="004F7CE4" w:rsidRDefault="004F7CE4" w:rsidP="00843EF1">
      <w:pPr>
        <w:tabs>
          <w:tab w:val="left" w:pos="7655"/>
        </w:tabs>
        <w:spacing w:after="120"/>
        <w:rPr>
          <w:rFonts w:asciiTheme="majorHAnsi" w:hAnsiTheme="majorHAnsi"/>
        </w:rPr>
      </w:pPr>
    </w:p>
    <w:p w:rsidR="004F7CE4" w:rsidRDefault="004F7CE4" w:rsidP="00843EF1">
      <w:pPr>
        <w:tabs>
          <w:tab w:val="left" w:pos="7655"/>
        </w:tabs>
        <w:spacing w:after="120"/>
        <w:rPr>
          <w:rFonts w:asciiTheme="majorHAnsi" w:hAnsiTheme="majorHAnsi"/>
        </w:rPr>
      </w:pPr>
    </w:p>
    <w:p w:rsidR="004F7CE4" w:rsidRDefault="004F7CE4" w:rsidP="00843EF1">
      <w:pPr>
        <w:tabs>
          <w:tab w:val="left" w:pos="7655"/>
        </w:tabs>
        <w:spacing w:after="120"/>
        <w:rPr>
          <w:rFonts w:asciiTheme="majorHAnsi" w:hAnsiTheme="majorHAnsi"/>
        </w:rPr>
      </w:pPr>
    </w:p>
    <w:p w:rsidR="004F7CE4" w:rsidRDefault="004F7CE4" w:rsidP="00843EF1">
      <w:pPr>
        <w:tabs>
          <w:tab w:val="left" w:pos="7655"/>
        </w:tabs>
        <w:spacing w:after="120"/>
        <w:rPr>
          <w:rFonts w:asciiTheme="majorHAnsi" w:hAnsiTheme="majorHAnsi"/>
        </w:rPr>
      </w:pPr>
    </w:p>
    <w:p w:rsidR="004F7CE4" w:rsidRDefault="004F7CE4" w:rsidP="00843EF1">
      <w:pPr>
        <w:tabs>
          <w:tab w:val="left" w:pos="7655"/>
        </w:tabs>
        <w:spacing w:after="120"/>
        <w:rPr>
          <w:rFonts w:asciiTheme="majorHAnsi" w:hAnsiTheme="majorHAnsi"/>
        </w:rPr>
      </w:pPr>
    </w:p>
    <w:p w:rsidR="004F7CE4" w:rsidRDefault="004F7CE4" w:rsidP="00843EF1">
      <w:pPr>
        <w:tabs>
          <w:tab w:val="left" w:pos="7655"/>
        </w:tabs>
        <w:spacing w:after="120"/>
        <w:rPr>
          <w:rFonts w:asciiTheme="majorHAnsi" w:hAnsiTheme="majorHAnsi"/>
        </w:rPr>
      </w:pPr>
    </w:p>
    <w:p w:rsidR="004F7CE4" w:rsidRPr="00D67679" w:rsidRDefault="000D488D" w:rsidP="004F7CE4">
      <w:pPr>
        <w:pStyle w:val="Heading1"/>
        <w:rPr>
          <w:color w:val="auto"/>
          <w:sz w:val="22"/>
          <w:szCs w:val="22"/>
          <w:u w:val="single"/>
        </w:rPr>
      </w:pPr>
      <w:r>
        <w:rPr>
          <w:color w:val="auto"/>
          <w:sz w:val="22"/>
          <w:szCs w:val="22"/>
          <w:u w:val="single"/>
        </w:rPr>
        <w:t>R</w:t>
      </w:r>
      <w:r w:rsidR="004F7CE4" w:rsidRPr="00D67679">
        <w:rPr>
          <w:color w:val="auto"/>
          <w:sz w:val="22"/>
          <w:szCs w:val="22"/>
          <w:u w:val="single"/>
        </w:rPr>
        <w:t>eferences</w:t>
      </w:r>
    </w:p>
    <w:p w:rsidR="004F7CE4" w:rsidRPr="00D67679" w:rsidRDefault="004F7CE4" w:rsidP="004F7CE4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D67679">
        <w:rPr>
          <w:rFonts w:asciiTheme="majorHAnsi" w:hAnsiTheme="majorHAnsi"/>
          <w:sz w:val="16"/>
          <w:szCs w:val="16"/>
        </w:rPr>
        <w:t xml:space="preserve">Australian Bureau of Statistics. (2011 and 2016). </w:t>
      </w:r>
      <w:r w:rsidRPr="00D67679">
        <w:rPr>
          <w:rFonts w:asciiTheme="majorHAnsi" w:hAnsiTheme="majorHAnsi"/>
          <w:i/>
          <w:sz w:val="16"/>
          <w:szCs w:val="16"/>
        </w:rPr>
        <w:t xml:space="preserve">Census of Population and Housing. </w:t>
      </w:r>
      <w:r w:rsidRPr="00D67679">
        <w:rPr>
          <w:rFonts w:asciiTheme="majorHAnsi" w:hAnsiTheme="majorHAnsi"/>
          <w:sz w:val="16"/>
          <w:szCs w:val="16"/>
        </w:rPr>
        <w:t xml:space="preserve">Compiled and analysed by ID Consulting </w:t>
      </w:r>
      <w:hyperlink r:id="rId8" w:history="1">
        <w:r w:rsidRPr="00D67679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http://profile.id.com.au/wyndham</w:t>
        </w:r>
      </w:hyperlink>
    </w:p>
    <w:p w:rsidR="004F7CE4" w:rsidRPr="00D67679" w:rsidRDefault="004F7CE4" w:rsidP="004F7CE4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D67679">
        <w:rPr>
          <w:rFonts w:asciiTheme="majorHAnsi" w:hAnsiTheme="majorHAnsi"/>
          <w:sz w:val="16"/>
          <w:szCs w:val="16"/>
        </w:rPr>
        <w:t xml:space="preserve">Australian Bureau of Statistics. (2011 and 2016). </w:t>
      </w:r>
      <w:r w:rsidRPr="00D67679">
        <w:rPr>
          <w:rFonts w:asciiTheme="majorHAnsi" w:hAnsiTheme="majorHAnsi"/>
          <w:i/>
          <w:sz w:val="16"/>
          <w:szCs w:val="16"/>
        </w:rPr>
        <w:t xml:space="preserve">Census of Population and Housing. </w:t>
      </w:r>
      <w:r w:rsidRPr="00D67679">
        <w:rPr>
          <w:rFonts w:asciiTheme="majorHAnsi" w:hAnsiTheme="majorHAnsi"/>
          <w:sz w:val="16"/>
          <w:szCs w:val="16"/>
        </w:rPr>
        <w:t xml:space="preserve">Compiled and analysed by Wyndham Council via Table Builder </w:t>
      </w:r>
      <w:hyperlink r:id="rId9" w:history="1">
        <w:r w:rsidRPr="00D67679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http://www.abs.gov.au/websitedbs/censushome.nsf/home/tablebuilder</w:t>
        </w:r>
      </w:hyperlink>
      <w:r w:rsidRPr="00D67679">
        <w:rPr>
          <w:rFonts w:asciiTheme="majorHAnsi" w:hAnsiTheme="majorHAnsi"/>
          <w:sz w:val="16"/>
          <w:szCs w:val="16"/>
        </w:rPr>
        <w:t xml:space="preserve">  </w:t>
      </w:r>
    </w:p>
    <w:p w:rsidR="004F7CE4" w:rsidRPr="00D67679" w:rsidRDefault="004F7CE4" w:rsidP="004F7CE4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D67679">
        <w:rPr>
          <w:rFonts w:asciiTheme="majorHAnsi" w:hAnsiTheme="majorHAnsi"/>
          <w:sz w:val="16"/>
          <w:szCs w:val="16"/>
        </w:rPr>
        <w:t xml:space="preserve">Wyndham City Council. (2014). </w:t>
      </w:r>
      <w:r w:rsidRPr="00D67679">
        <w:rPr>
          <w:rFonts w:asciiTheme="majorHAnsi" w:hAnsiTheme="majorHAnsi"/>
          <w:i/>
          <w:sz w:val="16"/>
          <w:szCs w:val="16"/>
        </w:rPr>
        <w:t>Maternal and Child Health service - Births</w:t>
      </w:r>
    </w:p>
    <w:p w:rsidR="004F7CE4" w:rsidRPr="00D67679" w:rsidRDefault="004F7CE4" w:rsidP="004F7CE4">
      <w:pPr>
        <w:pStyle w:val="ListParagraph"/>
        <w:numPr>
          <w:ilvl w:val="0"/>
          <w:numId w:val="1"/>
        </w:numPr>
        <w:spacing w:after="120"/>
        <w:rPr>
          <w:rFonts w:asciiTheme="majorHAnsi" w:hAnsiTheme="majorHAnsi"/>
          <w:sz w:val="16"/>
          <w:szCs w:val="16"/>
        </w:rPr>
      </w:pPr>
      <w:r w:rsidRPr="00D67679">
        <w:rPr>
          <w:rFonts w:asciiTheme="majorHAnsi" w:hAnsiTheme="majorHAnsi"/>
          <w:sz w:val="16"/>
          <w:szCs w:val="16"/>
        </w:rPr>
        <w:t xml:space="preserve">.ID Economic Profile. (2017). </w:t>
      </w:r>
      <w:r w:rsidRPr="00D67679">
        <w:rPr>
          <w:rFonts w:asciiTheme="majorHAnsi" w:hAnsiTheme="majorHAnsi"/>
          <w:i/>
          <w:sz w:val="16"/>
          <w:szCs w:val="16"/>
        </w:rPr>
        <w:t>City of Wyndham Economic Profile</w:t>
      </w:r>
      <w:r w:rsidRPr="00D67679">
        <w:rPr>
          <w:rFonts w:asciiTheme="majorHAnsi" w:hAnsiTheme="majorHAnsi"/>
          <w:sz w:val="16"/>
          <w:szCs w:val="16"/>
        </w:rPr>
        <w:t xml:space="preserve">. Retrieved from  </w:t>
      </w:r>
      <w:hyperlink r:id="rId10" w:history="1">
        <w:r w:rsidRPr="00D67679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http://economy.id.com.au/wyndham</w:t>
        </w:r>
      </w:hyperlink>
      <w:r w:rsidRPr="00D67679">
        <w:rPr>
          <w:rFonts w:asciiTheme="majorHAnsi" w:hAnsiTheme="majorHAnsi"/>
          <w:sz w:val="16"/>
          <w:szCs w:val="16"/>
        </w:rPr>
        <w:t xml:space="preserve"> </w:t>
      </w:r>
    </w:p>
    <w:p w:rsidR="004F7CE4" w:rsidRPr="00D67679" w:rsidRDefault="004F7CE4" w:rsidP="004F7CE4">
      <w:pPr>
        <w:pStyle w:val="ListParagraph"/>
        <w:numPr>
          <w:ilvl w:val="0"/>
          <w:numId w:val="1"/>
        </w:numPr>
        <w:spacing w:after="120"/>
        <w:rPr>
          <w:rStyle w:val="Hyperlink"/>
          <w:rFonts w:asciiTheme="majorHAnsi" w:hAnsiTheme="majorHAnsi"/>
          <w:color w:val="auto"/>
          <w:sz w:val="16"/>
          <w:szCs w:val="16"/>
        </w:rPr>
      </w:pPr>
      <w:r w:rsidRPr="00D67679">
        <w:rPr>
          <w:rFonts w:asciiTheme="majorHAnsi" w:hAnsiTheme="majorHAnsi"/>
          <w:sz w:val="16"/>
          <w:szCs w:val="16"/>
        </w:rPr>
        <w:t xml:space="preserve">.ID Population Forecast. (2016). </w:t>
      </w:r>
      <w:r w:rsidRPr="00D67679">
        <w:rPr>
          <w:rFonts w:asciiTheme="majorHAnsi" w:hAnsiTheme="majorHAnsi"/>
          <w:i/>
          <w:sz w:val="16"/>
          <w:szCs w:val="16"/>
        </w:rPr>
        <w:t>City of Wyndham Population and Household Forecasts 2011-2036</w:t>
      </w:r>
      <w:r w:rsidRPr="00D67679">
        <w:rPr>
          <w:rFonts w:asciiTheme="majorHAnsi" w:hAnsiTheme="majorHAnsi"/>
          <w:sz w:val="16"/>
          <w:szCs w:val="16"/>
        </w:rPr>
        <w:t xml:space="preserve">. Retrieved from </w:t>
      </w:r>
      <w:hyperlink r:id="rId11" w:history="1">
        <w:r w:rsidRPr="00D67679">
          <w:rPr>
            <w:rStyle w:val="Hyperlink"/>
            <w:rFonts w:asciiTheme="majorHAnsi" w:hAnsiTheme="majorHAnsi"/>
            <w:color w:val="auto"/>
            <w:sz w:val="16"/>
            <w:szCs w:val="16"/>
          </w:rPr>
          <w:t>http://forecast.id.com.au/wyndham</w:t>
        </w:r>
      </w:hyperlink>
    </w:p>
    <w:p w:rsidR="004F7CE4" w:rsidRPr="004F7CE4" w:rsidRDefault="004F7CE4" w:rsidP="004F7CE4">
      <w:pPr>
        <w:pStyle w:val="ListParagraph"/>
        <w:numPr>
          <w:ilvl w:val="0"/>
          <w:numId w:val="1"/>
        </w:numPr>
        <w:spacing w:after="120"/>
        <w:rPr>
          <w:sz w:val="16"/>
          <w:szCs w:val="16"/>
        </w:rPr>
      </w:pPr>
      <w:r w:rsidRPr="00D67679">
        <w:rPr>
          <w:rStyle w:val="Hyperlink"/>
          <w:rFonts w:asciiTheme="majorHAnsi" w:hAnsiTheme="majorHAnsi"/>
          <w:color w:val="auto"/>
          <w:sz w:val="16"/>
          <w:szCs w:val="16"/>
        </w:rPr>
        <w:t>Wyndham City Council. (2016).</w:t>
      </w:r>
      <w:r w:rsidRPr="00D67679">
        <w:rPr>
          <w:rStyle w:val="Hyperlink"/>
          <w:rFonts w:asciiTheme="majorHAnsi" w:hAnsiTheme="majorHAnsi"/>
          <w:i/>
          <w:color w:val="auto"/>
          <w:sz w:val="16"/>
          <w:szCs w:val="16"/>
        </w:rPr>
        <w:t xml:space="preserve"> </w:t>
      </w:r>
      <w:r w:rsidRPr="004F7CE4">
        <w:rPr>
          <w:rStyle w:val="Hyperlink"/>
          <w:rFonts w:asciiTheme="majorHAnsi" w:hAnsiTheme="majorHAnsi"/>
          <w:i/>
          <w:color w:val="auto"/>
          <w:sz w:val="16"/>
          <w:szCs w:val="16"/>
          <w:u w:val="none"/>
        </w:rPr>
        <w:t xml:space="preserve">Know Your Councillor &amp; Ward. Retrieved from </w:t>
      </w:r>
      <w:hyperlink r:id="rId12" w:history="1">
        <w:r w:rsidRPr="004F7CE4">
          <w:rPr>
            <w:rStyle w:val="Hyperlink"/>
            <w:rFonts w:asciiTheme="majorHAnsi" w:hAnsiTheme="majorHAnsi"/>
            <w:color w:val="auto"/>
            <w:sz w:val="16"/>
            <w:szCs w:val="16"/>
          </w:rPr>
          <w:t>https://www.wyndham.vic.gov.au/about-council/councillors-wards/know-your-councillor-ward</w:t>
        </w:r>
      </w:hyperlink>
      <w:r w:rsidRPr="004F7CE4">
        <w:rPr>
          <w:rFonts w:asciiTheme="majorHAnsi" w:hAnsiTheme="majorHAnsi"/>
          <w:sz w:val="16"/>
          <w:szCs w:val="16"/>
        </w:rPr>
        <w:t xml:space="preserve"> </w:t>
      </w:r>
    </w:p>
    <w:sectPr w:rsidR="004F7CE4" w:rsidRPr="004F7CE4" w:rsidSect="00843EF1">
      <w:footerReference w:type="default" r:id="rId13"/>
      <w:headerReference w:type="first" r:id="rId14"/>
      <w:type w:val="continuous"/>
      <w:pgSz w:w="11900" w:h="16840"/>
      <w:pgMar w:top="1625" w:right="851" w:bottom="851" w:left="851" w:header="510" w:footer="709" w:gutter="0"/>
      <w:cols w:space="45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D1A" w:rsidRDefault="00DF2D1A" w:rsidP="00D62CF1">
      <w:r>
        <w:separator/>
      </w:r>
    </w:p>
  </w:endnote>
  <w:endnote w:type="continuationSeparator" w:id="0">
    <w:p w:rsidR="00DF2D1A" w:rsidRDefault="00DF2D1A" w:rsidP="00D62CF1">
      <w:r>
        <w:continuationSeparator/>
      </w:r>
    </w:p>
  </w:endnote>
  <w:endnote w:id="1">
    <w:p w:rsidR="000D488D" w:rsidRPr="000D488D" w:rsidRDefault="000D488D">
      <w:pPr>
        <w:pStyle w:val="EndnoteText"/>
        <w:rPr>
          <w:rFonts w:asciiTheme="majorHAnsi" w:hAnsiTheme="majorHAnsi"/>
        </w:rPr>
      </w:pPr>
      <w:r>
        <w:rPr>
          <w:rStyle w:val="EndnoteReference"/>
        </w:rPr>
        <w:endnoteRef/>
      </w:r>
      <w:r>
        <w:t xml:space="preserve"> </w:t>
      </w:r>
      <w:r w:rsidR="00741636">
        <w:rPr>
          <w:rFonts w:asciiTheme="majorHAnsi" w:hAnsiTheme="majorHAnsi"/>
        </w:rPr>
        <w:t>.id Consulting base the 2016 population around estimates which account for the approximate 5% non-response rate in the Census and adjustments for births, deaths and net migration. As a result, the forecast 2016 population may differ from that reported in the population section of this profile.</w:t>
      </w:r>
    </w:p>
  </w:endnote>
  <w:endnote w:id="2">
    <w:p w:rsidR="000D488D" w:rsidRDefault="000D488D" w:rsidP="000D488D">
      <w:pPr>
        <w:pStyle w:val="EndnoteText"/>
        <w:rPr>
          <w:rFonts w:asciiTheme="majorHAnsi" w:hAnsiTheme="majorHAnsi"/>
        </w:rPr>
      </w:pPr>
      <w:r>
        <w:rPr>
          <w:rStyle w:val="EndnoteReference"/>
        </w:rPr>
        <w:endnoteRef/>
      </w:r>
      <w:r>
        <w:t xml:space="preserve"> </w:t>
      </w:r>
      <w:r w:rsidR="00B957B3">
        <w:rPr>
          <w:rFonts w:asciiTheme="majorHAnsi" w:hAnsiTheme="majorHAnsi"/>
        </w:rPr>
        <w:t>Method of travel to work data includes Car as driver and train as sole method of travel, and in conjunction with other transport modes (e.g. bus, car, tram etc.).</w:t>
      </w:r>
    </w:p>
    <w:p w:rsidR="000D488D" w:rsidRDefault="000D488D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DaxOT-Light">
    <w:panose1 w:val="02010504050101020104"/>
    <w:charset w:val="00"/>
    <w:family w:val="modern"/>
    <w:notTrueType/>
    <w:pitch w:val="variable"/>
    <w:sig w:usb0="800000AF" w:usb1="4000247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36F" w:rsidRPr="0034536F" w:rsidRDefault="0034536F" w:rsidP="0034536F">
    <w:pPr>
      <w:pStyle w:val="Footer"/>
      <w:pBdr>
        <w:top w:val="single" w:sz="12" w:space="1" w:color="002C55"/>
      </w:pBdr>
      <w:rPr>
        <w:rFonts w:ascii="DaxOT-Light" w:hAnsi="DaxOT-Light"/>
        <w:color w:val="002C55"/>
        <w:sz w:val="20"/>
      </w:rPr>
    </w:pPr>
    <w:r w:rsidRPr="00CF0D2B">
      <w:rPr>
        <w:rFonts w:ascii="DaxOT-Light" w:hAnsi="DaxOT-Light"/>
        <w:color w:val="002C55"/>
        <w:sz w:val="20"/>
      </w:rPr>
      <w:t>Wyndham City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D1A" w:rsidRDefault="00DF2D1A" w:rsidP="00D62CF1">
      <w:r>
        <w:separator/>
      </w:r>
    </w:p>
  </w:footnote>
  <w:footnote w:type="continuationSeparator" w:id="0">
    <w:p w:rsidR="00DF2D1A" w:rsidRDefault="00DF2D1A" w:rsidP="00D62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DE6" w:rsidRPr="00D62CF1" w:rsidRDefault="00FC0DE6" w:rsidP="00D62CF1"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0A1912AA" wp14:editId="7EEDA94B">
          <wp:simplePos x="0" y="0"/>
          <wp:positionH relativeFrom="column">
            <wp:posOffset>-534670</wp:posOffset>
          </wp:positionH>
          <wp:positionV relativeFrom="paragraph">
            <wp:posOffset>-331190</wp:posOffset>
          </wp:positionV>
          <wp:extent cx="7562850" cy="3243532"/>
          <wp:effectExtent l="0" t="0" r="0" b="0"/>
          <wp:wrapNone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9671"/>
                  <a:stretch/>
                </pic:blipFill>
                <pic:spPr bwMode="auto">
                  <a:xfrm>
                    <a:off x="0" y="0"/>
                    <a:ext cx="7562850" cy="32435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CF281B"/>
    <w:multiLevelType w:val="hybridMultilevel"/>
    <w:tmpl w:val="8BF4BC3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>
      <o:colormru v:ext="edit" colors="#f3f4f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EF1"/>
    <w:rsid w:val="0004478A"/>
    <w:rsid w:val="00066BC8"/>
    <w:rsid w:val="000D338F"/>
    <w:rsid w:val="000D488D"/>
    <w:rsid w:val="000E4083"/>
    <w:rsid w:val="000F5687"/>
    <w:rsid w:val="0010335E"/>
    <w:rsid w:val="00217177"/>
    <w:rsid w:val="00220144"/>
    <w:rsid w:val="00254715"/>
    <w:rsid w:val="002C1D4D"/>
    <w:rsid w:val="003375D4"/>
    <w:rsid w:val="0034536F"/>
    <w:rsid w:val="00384102"/>
    <w:rsid w:val="00386175"/>
    <w:rsid w:val="003B5157"/>
    <w:rsid w:val="003C0E22"/>
    <w:rsid w:val="003E2167"/>
    <w:rsid w:val="004141EE"/>
    <w:rsid w:val="0041664F"/>
    <w:rsid w:val="00430DB0"/>
    <w:rsid w:val="004920A0"/>
    <w:rsid w:val="00492C6A"/>
    <w:rsid w:val="004A31FF"/>
    <w:rsid w:val="004B3F2E"/>
    <w:rsid w:val="004F7CE4"/>
    <w:rsid w:val="00597496"/>
    <w:rsid w:val="0060391F"/>
    <w:rsid w:val="006357F8"/>
    <w:rsid w:val="00670C3A"/>
    <w:rsid w:val="006C58CB"/>
    <w:rsid w:val="006F32E8"/>
    <w:rsid w:val="00741636"/>
    <w:rsid w:val="00764755"/>
    <w:rsid w:val="007B2BEF"/>
    <w:rsid w:val="007F500D"/>
    <w:rsid w:val="007F7E71"/>
    <w:rsid w:val="00843EF1"/>
    <w:rsid w:val="00863752"/>
    <w:rsid w:val="00893A96"/>
    <w:rsid w:val="00951D17"/>
    <w:rsid w:val="00996DAF"/>
    <w:rsid w:val="009E295A"/>
    <w:rsid w:val="009E42AE"/>
    <w:rsid w:val="00A92F89"/>
    <w:rsid w:val="00B16F22"/>
    <w:rsid w:val="00B21C0B"/>
    <w:rsid w:val="00B2392D"/>
    <w:rsid w:val="00B92BC1"/>
    <w:rsid w:val="00B957B3"/>
    <w:rsid w:val="00BB6A5D"/>
    <w:rsid w:val="00BD1367"/>
    <w:rsid w:val="00C723DB"/>
    <w:rsid w:val="00CB07F1"/>
    <w:rsid w:val="00D62CF1"/>
    <w:rsid w:val="00D83C88"/>
    <w:rsid w:val="00DD0047"/>
    <w:rsid w:val="00DF0D56"/>
    <w:rsid w:val="00DF2D1A"/>
    <w:rsid w:val="00E60950"/>
    <w:rsid w:val="00E62FDC"/>
    <w:rsid w:val="00EA28F5"/>
    <w:rsid w:val="00ED4B4A"/>
    <w:rsid w:val="00F4181E"/>
    <w:rsid w:val="00F82156"/>
    <w:rsid w:val="00FC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3f4f8"/>
    </o:shapedefaults>
    <o:shapelayout v:ext="edit">
      <o:idmap v:ext="edit" data="1"/>
    </o:shapelayout>
  </w:shapeDefaults>
  <w:decimalSymbol w:val="."/>
  <w:listSeparator w:val=","/>
  <w14:docId w14:val="02B28D36"/>
  <w14:defaultImageDpi w14:val="300"/>
  <w15:docId w15:val="{F1F4575E-6E40-41B3-BEEC-39C7E7FE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" w:eastAsia="MS Mincho" w:hAnsi="Helvetica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EF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7C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CF1"/>
    <w:pPr>
      <w:tabs>
        <w:tab w:val="center" w:pos="4320"/>
        <w:tab w:val="right" w:pos="8640"/>
      </w:tabs>
      <w:spacing w:after="0" w:line="240" w:lineRule="auto"/>
    </w:pPr>
    <w:rPr>
      <w:rFonts w:ascii="Helvetica" w:eastAsia="MS Mincho" w:hAnsi="Helvetica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62CF1"/>
  </w:style>
  <w:style w:type="paragraph" w:styleId="Footer">
    <w:name w:val="footer"/>
    <w:basedOn w:val="Normal"/>
    <w:link w:val="FooterChar"/>
    <w:uiPriority w:val="99"/>
    <w:unhideWhenUsed/>
    <w:rsid w:val="00D62CF1"/>
    <w:pPr>
      <w:tabs>
        <w:tab w:val="center" w:pos="4320"/>
        <w:tab w:val="right" w:pos="8640"/>
      </w:tabs>
      <w:spacing w:after="0" w:line="240" w:lineRule="auto"/>
    </w:pPr>
    <w:rPr>
      <w:rFonts w:ascii="Helvetica" w:eastAsia="MS Mincho" w:hAnsi="Helvetica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62CF1"/>
  </w:style>
  <w:style w:type="paragraph" w:styleId="BalloonText">
    <w:name w:val="Balloon Text"/>
    <w:basedOn w:val="Normal"/>
    <w:link w:val="BalloonTextChar"/>
    <w:uiPriority w:val="99"/>
    <w:semiHidden/>
    <w:unhideWhenUsed/>
    <w:rsid w:val="00D62C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62CF1"/>
    <w:rPr>
      <w:rFonts w:ascii="Lucida Grande" w:hAnsi="Lucida Grande" w:cs="Lucida Grande"/>
      <w:sz w:val="18"/>
      <w:szCs w:val="18"/>
    </w:rPr>
  </w:style>
  <w:style w:type="paragraph" w:customStyle="1" w:styleId="IntroPara01">
    <w:name w:val="_IntroPara01"/>
    <w:next w:val="Body01"/>
    <w:qFormat/>
    <w:rsid w:val="0010335E"/>
    <w:pPr>
      <w:spacing w:after="170"/>
    </w:pPr>
    <w:rPr>
      <w:rFonts w:ascii="Calibri" w:hAnsi="Calibri"/>
      <w:caps/>
      <w:sz w:val="28"/>
      <w:szCs w:val="28"/>
      <w:lang w:val="en-US"/>
    </w:rPr>
  </w:style>
  <w:style w:type="paragraph" w:customStyle="1" w:styleId="Header02">
    <w:name w:val="_Header02"/>
    <w:next w:val="IntroPara01"/>
    <w:qFormat/>
    <w:rsid w:val="006F32E8"/>
    <w:pPr>
      <w:spacing w:before="284" w:after="170"/>
    </w:pPr>
    <w:rPr>
      <w:rFonts w:ascii="Calibri" w:hAnsi="Calibri"/>
      <w:noProof/>
      <w:color w:val="25416B"/>
      <w:sz w:val="72"/>
      <w:szCs w:val="96"/>
      <w:lang w:val="en-US"/>
    </w:rPr>
  </w:style>
  <w:style w:type="paragraph" w:customStyle="1" w:styleId="Header03">
    <w:name w:val="_Header03"/>
    <w:next w:val="Body01"/>
    <w:qFormat/>
    <w:rsid w:val="006F32E8"/>
    <w:pPr>
      <w:spacing w:after="170"/>
    </w:pPr>
    <w:rPr>
      <w:rFonts w:ascii="Calibri" w:hAnsi="Calibri"/>
      <w:color w:val="25416B"/>
      <w:sz w:val="36"/>
      <w:szCs w:val="36"/>
      <w:lang w:val="en-GB"/>
    </w:rPr>
  </w:style>
  <w:style w:type="paragraph" w:customStyle="1" w:styleId="Header01">
    <w:name w:val="_Header01"/>
    <w:next w:val="IntroPara01"/>
    <w:qFormat/>
    <w:rsid w:val="004141EE"/>
    <w:pPr>
      <w:spacing w:after="113"/>
    </w:pPr>
    <w:rPr>
      <w:rFonts w:ascii="Calibri" w:hAnsi="Calibri"/>
      <w:color w:val="25416B"/>
      <w:sz w:val="96"/>
      <w:szCs w:val="96"/>
      <w:lang w:val="en-US"/>
    </w:rPr>
  </w:style>
  <w:style w:type="paragraph" w:customStyle="1" w:styleId="Body01">
    <w:name w:val="_Body01"/>
    <w:qFormat/>
    <w:rsid w:val="006F32E8"/>
    <w:pPr>
      <w:spacing w:after="113"/>
    </w:pPr>
    <w:rPr>
      <w:rFonts w:ascii="Calibri" w:hAnsi="Calibri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F7C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4F7C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7CE4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D488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D488D"/>
    <w:rPr>
      <w:rFonts w:asciiTheme="minorHAnsi" w:eastAsiaTheme="minorHAnsi" w:hAnsiTheme="minorHAnsi" w:cstheme="minorBidi"/>
    </w:rPr>
  </w:style>
  <w:style w:type="character" w:styleId="EndnoteReference">
    <w:name w:val="endnote reference"/>
    <w:basedOn w:val="DefaultParagraphFont"/>
    <w:uiPriority w:val="99"/>
    <w:semiHidden/>
    <w:unhideWhenUsed/>
    <w:rsid w:val="000D48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file.id.com.au/wyndha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yndham.vic.gov.au/about-council/councillors-wards/know-your-councillor-war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orecast.id.com.au/wyndha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economy.id.com.au/wyndha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bs.gov.au/websitedbs/censushome.nsf/home/tablebuilde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ivicfile2\templates2016$\CEO's%20Office\Factsheet%20No%20Imag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E6E8C1-75B3-41D6-8BFE-9460D836C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Factsheet No Images</Template>
  <TotalTime>73</TotalTime>
  <Pages>1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Ckaos</Company>
  <LinksUpToDate>false</LinksUpToDate>
  <CharactersWithSpaces>4155</CharactersWithSpaces>
  <SharedDoc>false</SharedDoc>
  <HLinks>
    <vt:vector size="12" baseType="variant">
      <vt:variant>
        <vt:i4>7143438</vt:i4>
      </vt:variant>
      <vt:variant>
        <vt:i4>-1</vt:i4>
      </vt:variant>
      <vt:variant>
        <vt:i4>1031</vt:i4>
      </vt:variant>
      <vt:variant>
        <vt:i4>1</vt:i4>
      </vt:variant>
      <vt:variant>
        <vt:lpwstr>IMG</vt:lpwstr>
      </vt:variant>
      <vt:variant>
        <vt:lpwstr/>
      </vt:variant>
      <vt:variant>
        <vt:i4>7143438</vt:i4>
      </vt:variant>
      <vt:variant>
        <vt:i4>-1</vt:i4>
      </vt:variant>
      <vt:variant>
        <vt:i4>1029</vt:i4>
      </vt:variant>
      <vt:variant>
        <vt:i4>1</vt:i4>
      </vt:variant>
      <vt:variant>
        <vt:lpwstr>IMG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Green</dc:creator>
  <cp:lastModifiedBy>Robin Visser</cp:lastModifiedBy>
  <cp:revision>16</cp:revision>
  <dcterms:created xsi:type="dcterms:W3CDTF">2017-07-27T00:55:00Z</dcterms:created>
  <dcterms:modified xsi:type="dcterms:W3CDTF">2018-05-11T04:23:00Z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A1756490</vt:lpwstr>
  </property>
  <property fmtid="{D5CDD505-2E9C-101B-9397-08002B2CF9AE}" pid="4" name="Objective-Title">
    <vt:lpwstr>Suburb and Ward Profiles - Tarneit - May 2018</vt:lpwstr>
  </property>
  <property fmtid="{D5CDD505-2E9C-101B-9397-08002B2CF9AE}" pid="5" name="Objective-Comment">
    <vt:lpwstr/>
  </property>
  <property fmtid="{D5CDD505-2E9C-101B-9397-08002B2CF9AE}" pid="6" name="Objective-CreationStamp">
    <vt:filetime>2017-07-27T00:55:52Z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2018-05-11T04:25:29Z</vt:filetime>
  </property>
  <property fmtid="{D5CDD505-2E9C-101B-9397-08002B2CF9AE}" pid="10" name="Objective-ModificationStamp">
    <vt:filetime>2018-05-11T04:25:29Z</vt:filetime>
  </property>
  <property fmtid="{D5CDD505-2E9C-101B-9397-08002B2CF9AE}" pid="11" name="Objective-Owner">
    <vt:lpwstr>Stephanie Green</vt:lpwstr>
  </property>
  <property fmtid="{D5CDD505-2E9C-101B-9397-08002B2CF9AE}" pid="12" name="Objective-Path">
    <vt:lpwstr>Objective Global Folder:Corporate Management:Department - Strategy &amp; Stakeholder Engagement - Strategy &amp; Stakeholder Engagement:Research &amp; Materials:Publications:</vt:lpwstr>
  </property>
  <property fmtid="{D5CDD505-2E9C-101B-9397-08002B2CF9AE}" pid="13" name="Objective-Parent">
    <vt:lpwstr>Publications</vt:lpwstr>
  </property>
  <property fmtid="{D5CDD505-2E9C-101B-9397-08002B2CF9AE}" pid="14" name="Objective-State">
    <vt:lpwstr>Published</vt:lpwstr>
  </property>
  <property fmtid="{D5CDD505-2E9C-101B-9397-08002B2CF9AE}" pid="15" name="Objective-Version">
    <vt:lpwstr>9.0</vt:lpwstr>
  </property>
  <property fmtid="{D5CDD505-2E9C-101B-9397-08002B2CF9AE}" pid="16" name="Objective-VersionNumber">
    <vt:r8>10</vt:r8>
  </property>
  <property fmtid="{D5CDD505-2E9C-101B-9397-08002B2CF9AE}" pid="17" name="Objective-VersionComment">
    <vt:lpwstr/>
  </property>
  <property fmtid="{D5CDD505-2E9C-101B-9397-08002B2CF9AE}" pid="18" name="Objective-FileNumber">
    <vt:lpwstr>qA276698</vt:lpwstr>
  </property>
  <property fmtid="{D5CDD505-2E9C-101B-9397-08002B2CF9AE}" pid="19" name="Objective-Classification">
    <vt:lpwstr>[Inherited - Unclassified]</vt:lpwstr>
  </property>
  <property fmtid="{D5CDD505-2E9C-101B-9397-08002B2CF9AE}" pid="20" name="Objective-Caveats">
    <vt:lpwstr/>
  </property>
  <property fmtid="{D5CDD505-2E9C-101B-9397-08002B2CF9AE}" pid="21" name="Objective-Action Officer [system]">
    <vt:lpwstr/>
  </property>
  <property fmtid="{D5CDD505-2E9C-101B-9397-08002B2CF9AE}" pid="22" name="Objective-Delivery Mode [system]">
    <vt:lpwstr>Internal</vt:lpwstr>
  </property>
  <property fmtid="{D5CDD505-2E9C-101B-9397-08002B2CF9AE}" pid="23" name="Objective-Auth or Addressee [system]">
    <vt:lpwstr>Staff Wyndham City</vt:lpwstr>
  </property>
  <property fmtid="{D5CDD505-2E9C-101B-9397-08002B2CF9AE}" pid="24" name="Objective-Auth or Addressee NAR No [system]">
    <vt:lpwstr>544420</vt:lpwstr>
  </property>
  <property fmtid="{D5CDD505-2E9C-101B-9397-08002B2CF9AE}" pid="25" name="Objective-Reference [system]">
    <vt:lpwstr/>
  </property>
  <property fmtid="{D5CDD505-2E9C-101B-9397-08002B2CF9AE}" pid="26" name="Objective-P&amp;R Reference Data Type [system]">
    <vt:lpwstr/>
  </property>
  <property fmtid="{D5CDD505-2E9C-101B-9397-08002B2CF9AE}" pid="27" name="Objective-External Reference [system]">
    <vt:lpwstr/>
  </property>
  <property fmtid="{D5CDD505-2E9C-101B-9397-08002B2CF9AE}" pid="28" name="Objective-Date of Document [system]">
    <vt:lpwstr/>
  </property>
  <property fmtid="{D5CDD505-2E9C-101B-9397-08002B2CF9AE}" pid="29" name="Objective-Scanning Operator [system]">
    <vt:lpwstr/>
  </property>
  <property fmtid="{D5CDD505-2E9C-101B-9397-08002B2CF9AE}" pid="30" name="Objective-P&amp;R Document ID [system]">
    <vt:lpwstr/>
  </property>
  <property fmtid="{D5CDD505-2E9C-101B-9397-08002B2CF9AE}" pid="31" name="Objective-Workflow Tracking Number [system]">
    <vt:lpwstr/>
  </property>
  <property fmtid="{D5CDD505-2E9C-101B-9397-08002B2CF9AE}" pid="32" name="Objective-Date Correspondence Received [system]">
    <vt:lpwstr/>
  </property>
  <property fmtid="{D5CDD505-2E9C-101B-9397-08002B2CF9AE}" pid="33" name="Objective-Date Response Due [system]">
    <vt:lpwstr/>
  </property>
  <property fmtid="{D5CDD505-2E9C-101B-9397-08002B2CF9AE}" pid="34" name="Objective-M13 Agent Type [system]">
    <vt:lpwstr>Record Author</vt:lpwstr>
  </property>
  <property fmtid="{D5CDD505-2E9C-101B-9397-08002B2CF9AE}" pid="35" name="Objective-M14 Jurisdiction [system]">
    <vt:lpwstr>Victoria</vt:lpwstr>
  </property>
  <property fmtid="{D5CDD505-2E9C-101B-9397-08002B2CF9AE}" pid="36" name="Objective-M15 Corporate Id [system]">
    <vt:lpwstr>12345</vt:lpwstr>
  </property>
  <property fmtid="{D5CDD505-2E9C-101B-9397-08002B2CF9AE}" pid="37" name="Objective-M16 Corporate Name [system]">
    <vt:lpwstr>Wyndham City Council</vt:lpwstr>
  </property>
  <property fmtid="{D5CDD505-2E9C-101B-9397-08002B2CF9AE}" pid="38" name="Objective-M33 Scheme Type [system]">
    <vt:lpwstr>Functional</vt:lpwstr>
  </property>
  <property fmtid="{D5CDD505-2E9C-101B-9397-08002B2CF9AE}" pid="39" name="Objective-M34 Scheme Name [system]">
    <vt:lpwstr>Agency Functional Thesaurus</vt:lpwstr>
  </property>
  <property fmtid="{D5CDD505-2E9C-101B-9397-08002B2CF9AE}" pid="40" name="Objective-M35 Title Word [system]">
    <vt:lpwstr/>
  </property>
  <property fmtid="{D5CDD505-2E9C-101B-9397-08002B2CF9AE}" pid="41" name="Objective-M56 Date/Time Transmission [system]">
    <vt:lpwstr/>
  </property>
  <property fmtid="{D5CDD505-2E9C-101B-9397-08002B2CF9AE}" pid="42" name="Objective-M125 Document Source [system]">
    <vt:lpwstr/>
  </property>
  <property fmtid="{D5CDD505-2E9C-101B-9397-08002B2CF9AE}" pid="43" name="Objective-M131 Rendering Text [system]">
    <vt:lpwstr>'See the contents of the vers:FileEncoding element'</vt:lpwstr>
  </property>
  <property fmtid="{D5CDD505-2E9C-101B-9397-08002B2CF9AE}" pid="44" name="Objective-Actioning Officer or Group [system]">
    <vt:lpwstr/>
  </property>
  <property fmtid="{D5CDD505-2E9C-101B-9397-08002B2CF9AE}" pid="45" name="Objective-Actioning Business Unit [system]">
    <vt:lpwstr/>
  </property>
  <property fmtid="{D5CDD505-2E9C-101B-9397-08002B2CF9AE}" pid="46" name="Objective-FYI Required [system]">
    <vt:lpwstr>No</vt:lpwstr>
  </property>
  <property fmtid="{D5CDD505-2E9C-101B-9397-08002B2CF9AE}" pid="47" name="Objective-FYI Officers or Groups [system]">
    <vt:lpwstr/>
  </property>
  <property fmtid="{D5CDD505-2E9C-101B-9397-08002B2CF9AE}" pid="48" name="Objective-FYI Comments [system]">
    <vt:lpwstr/>
  </property>
  <property fmtid="{D5CDD505-2E9C-101B-9397-08002B2CF9AE}" pid="49" name="Objective-Connect Creator [system]">
    <vt:lpwstr/>
  </property>
</Properties>
</file>