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BC8" w:rsidRPr="00581959" w:rsidRDefault="00430DB0" w:rsidP="00F4181E">
      <w:pPr>
        <w:pStyle w:val="Header02"/>
        <w:rPr>
          <w:rFonts w:asciiTheme="majorHAnsi" w:hAnsiTheme="majorHAnsi"/>
          <w:sz w:val="22"/>
          <w:szCs w:val="22"/>
        </w:rPr>
      </w:pPr>
      <w:r w:rsidRPr="00581959">
        <w:rPr>
          <w:rFonts w:asciiTheme="majorHAnsi" w:hAnsiTheme="majorHAnsi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9339E9" wp14:editId="72219A00">
                <wp:simplePos x="0" y="0"/>
                <wp:positionH relativeFrom="column">
                  <wp:posOffset>0</wp:posOffset>
                </wp:positionH>
                <wp:positionV relativeFrom="page">
                  <wp:posOffset>1728470</wp:posOffset>
                </wp:positionV>
                <wp:extent cx="3959860" cy="1044000"/>
                <wp:effectExtent l="0" t="0" r="2540" b="22860"/>
                <wp:wrapThrough wrapText="bothSides">
                  <wp:wrapPolygon edited="0">
                    <wp:start x="0" y="0"/>
                    <wp:lineTo x="0" y="21547"/>
                    <wp:lineTo x="21475" y="21547"/>
                    <wp:lineTo x="21475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10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6" w:rsidRDefault="00581959" w:rsidP="00066BC8">
                            <w:pPr>
                              <w:pStyle w:val="Header01"/>
                            </w:pPr>
                            <w:r>
                              <w:t>Point Cook</w:t>
                            </w:r>
                          </w:p>
                          <w:p w:rsidR="00FC0DE6" w:rsidRPr="00DF1843" w:rsidRDefault="00581959" w:rsidP="000D338F">
                            <w:pPr>
                              <w:pStyle w:val="IntroPara01"/>
                            </w:pPr>
                            <w:r>
                              <w:t>Suburb Profile</w:t>
                            </w:r>
                          </w:p>
                          <w:p w:rsidR="00FC0DE6" w:rsidRDefault="00FC0DE6" w:rsidP="00066BC8">
                            <w:pPr>
                              <w:pStyle w:val="Header0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339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6.1pt;width:311.8pt;height:8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lisAIAAKo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" filled="f" stroked="f">
                <v:textbox inset="0,0,0,0">
                  <w:txbxContent>
                    <w:p w:rsidR="00FC0DE6" w:rsidRDefault="00581959" w:rsidP="00066BC8">
                      <w:pPr>
                        <w:pStyle w:val="Header01"/>
                      </w:pPr>
                      <w:r>
                        <w:t>Point Cook</w:t>
                      </w:r>
                    </w:p>
                    <w:p w:rsidR="00FC0DE6" w:rsidRPr="00DF1843" w:rsidRDefault="00581959" w:rsidP="000D338F">
                      <w:pPr>
                        <w:pStyle w:val="IntroPara01"/>
                      </w:pPr>
                      <w:r>
                        <w:t>Suburb Profile</w:t>
                      </w:r>
                    </w:p>
                    <w:p w:rsidR="00FC0DE6" w:rsidRDefault="00FC0DE6" w:rsidP="00066BC8">
                      <w:pPr>
                        <w:pStyle w:val="Header01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62FDC" w:rsidRPr="00581959">
        <w:rPr>
          <w:rFonts w:asciiTheme="majorHAnsi" w:hAnsiTheme="majorHAnsi"/>
          <w:sz w:val="22"/>
          <w:szCs w:val="22"/>
        </w:rPr>
        <w:t xml:space="preserve"> </w:t>
      </w:r>
    </w:p>
    <w:p w:rsidR="00F4181E" w:rsidRPr="00581959" w:rsidRDefault="00F4181E" w:rsidP="00C723DB">
      <w:pPr>
        <w:pStyle w:val="Body01"/>
        <w:rPr>
          <w:rFonts w:asciiTheme="majorHAnsi" w:hAnsiTheme="majorHAnsi"/>
          <w:sz w:val="22"/>
          <w:szCs w:val="22"/>
        </w:rPr>
      </w:pPr>
    </w:p>
    <w:p w:rsidR="00F4181E" w:rsidRPr="00581959" w:rsidRDefault="00F4181E" w:rsidP="00C723DB">
      <w:pPr>
        <w:pStyle w:val="Body01"/>
        <w:rPr>
          <w:rFonts w:asciiTheme="majorHAnsi" w:hAnsiTheme="majorHAnsi"/>
          <w:sz w:val="22"/>
          <w:szCs w:val="22"/>
        </w:rPr>
      </w:pPr>
    </w:p>
    <w:p w:rsidR="00F4181E" w:rsidRPr="00581959" w:rsidRDefault="00F4181E" w:rsidP="00C723DB">
      <w:pPr>
        <w:pStyle w:val="Body01"/>
        <w:rPr>
          <w:rFonts w:asciiTheme="majorHAnsi" w:hAnsiTheme="majorHAnsi"/>
          <w:sz w:val="22"/>
          <w:szCs w:val="22"/>
        </w:rPr>
      </w:pPr>
    </w:p>
    <w:p w:rsidR="00F4181E" w:rsidRPr="00581959" w:rsidRDefault="00F4181E" w:rsidP="00C723DB">
      <w:pPr>
        <w:pStyle w:val="Body01"/>
        <w:rPr>
          <w:rFonts w:asciiTheme="majorHAnsi" w:hAnsiTheme="majorHAnsi"/>
          <w:sz w:val="22"/>
          <w:szCs w:val="22"/>
        </w:rPr>
      </w:pPr>
    </w:p>
    <w:p w:rsidR="00F4181E" w:rsidRPr="00581959" w:rsidRDefault="00F4181E" w:rsidP="00C723DB">
      <w:pPr>
        <w:pStyle w:val="Body01"/>
        <w:rPr>
          <w:rFonts w:asciiTheme="majorHAnsi" w:hAnsiTheme="majorHAnsi"/>
          <w:sz w:val="22"/>
          <w:szCs w:val="22"/>
        </w:rPr>
      </w:pPr>
    </w:p>
    <w:p w:rsidR="00F4181E" w:rsidRPr="00581959" w:rsidRDefault="00F4181E" w:rsidP="00C723DB">
      <w:pPr>
        <w:pStyle w:val="Body01"/>
        <w:rPr>
          <w:rFonts w:asciiTheme="majorHAnsi" w:hAnsiTheme="majorHAnsi"/>
          <w:sz w:val="22"/>
          <w:szCs w:val="22"/>
        </w:rPr>
      </w:pPr>
    </w:p>
    <w:p w:rsidR="00F4181E" w:rsidRPr="00581959" w:rsidRDefault="00F4181E" w:rsidP="00C723DB">
      <w:pPr>
        <w:pStyle w:val="Body01"/>
        <w:rPr>
          <w:rFonts w:asciiTheme="majorHAnsi" w:hAnsiTheme="majorHAnsi"/>
          <w:sz w:val="22"/>
          <w:szCs w:val="22"/>
        </w:rPr>
      </w:pPr>
    </w:p>
    <w:p w:rsidR="00042998" w:rsidRDefault="00042998" w:rsidP="00042998">
      <w:pPr>
        <w:spacing w:after="0"/>
        <w:rPr>
          <w:rFonts w:asciiTheme="majorHAnsi" w:hAnsiTheme="majorHAnsi"/>
        </w:rPr>
      </w:pPr>
    </w:p>
    <w:p w:rsidR="00581959" w:rsidRPr="00581959" w:rsidRDefault="00581959" w:rsidP="00581959">
      <w:pPr>
        <w:spacing w:after="120"/>
        <w:rPr>
          <w:rFonts w:asciiTheme="majorHAnsi" w:hAnsiTheme="majorHAnsi"/>
          <w:i/>
        </w:rPr>
      </w:pPr>
      <w:r w:rsidRPr="00581959">
        <w:rPr>
          <w:rFonts w:asciiTheme="majorHAnsi" w:hAnsiTheme="majorHAnsi"/>
        </w:rPr>
        <w:t>Point Cook</w:t>
      </w:r>
      <w:r w:rsidR="006A3F1F">
        <w:rPr>
          <w:rFonts w:asciiTheme="majorHAnsi" w:hAnsiTheme="majorHAnsi"/>
        </w:rPr>
        <w:t xml:space="preserve"> is the largest suburb in Wyndham according to population size.  </w:t>
      </w:r>
      <w:r w:rsidRPr="00581959">
        <w:rPr>
          <w:rFonts w:asciiTheme="majorHAnsi" w:hAnsiTheme="majorHAnsi"/>
          <w:shd w:val="clear" w:color="auto" w:fill="FFFFFF"/>
        </w:rPr>
        <w:t xml:space="preserve">Significant residential development began in the late 1990s and is expected to continue over the next 20 years as more land is developed. </w:t>
      </w:r>
      <w:r w:rsidR="008E3DFE">
        <w:rPr>
          <w:rFonts w:asciiTheme="majorHAnsi" w:hAnsiTheme="majorHAnsi"/>
          <w:shd w:val="clear" w:color="auto" w:fill="FFFFFF"/>
        </w:rPr>
        <w:t xml:space="preserve">Point Cook is located to the east </w:t>
      </w:r>
      <w:r w:rsidR="00D84E93">
        <w:rPr>
          <w:rFonts w:asciiTheme="majorHAnsi" w:hAnsiTheme="majorHAnsi"/>
          <w:shd w:val="clear" w:color="auto" w:fill="FFFFFF"/>
        </w:rPr>
        <w:t>of the</w:t>
      </w:r>
      <w:r w:rsidR="008E3DFE">
        <w:rPr>
          <w:rFonts w:asciiTheme="majorHAnsi" w:hAnsiTheme="majorHAnsi"/>
          <w:shd w:val="clear" w:color="auto" w:fill="FFFFFF"/>
        </w:rPr>
        <w:t xml:space="preserve"> Wyndham municipality, and is part of the Harrison Ward.</w:t>
      </w:r>
    </w:p>
    <w:p w:rsidR="00581959" w:rsidRPr="00581959" w:rsidRDefault="00581959" w:rsidP="00581959">
      <w:pPr>
        <w:spacing w:after="0"/>
        <w:rPr>
          <w:rFonts w:asciiTheme="majorHAnsi" w:hAnsiTheme="majorHAnsi"/>
        </w:rPr>
      </w:pPr>
      <w:r w:rsidRPr="00581959">
        <w:rPr>
          <w:rFonts w:asciiTheme="majorHAnsi" w:hAnsiTheme="majorHAnsi"/>
          <w:b/>
        </w:rPr>
        <w:t>Population</w:t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 xml:space="preserve">The population of Point Cook has increased significantly in the last 5 years, from 33,413 people in 2011 to </w:t>
      </w:r>
      <w:r w:rsidR="00992062">
        <w:rPr>
          <w:rFonts w:asciiTheme="majorHAnsi" w:hAnsiTheme="majorHAnsi"/>
        </w:rPr>
        <w:t>60,901 people in 2018</w:t>
      </w:r>
      <w:r w:rsidRPr="00581959">
        <w:rPr>
          <w:rFonts w:asciiTheme="majorHAnsi" w:hAnsiTheme="majorHAnsi"/>
        </w:rPr>
        <w:t xml:space="preserve">. 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>Forecast</w:t>
      </w:r>
      <w:r w:rsidR="007E54B8">
        <w:rPr>
          <w:rStyle w:val="EndnoteReference"/>
          <w:rFonts w:asciiTheme="majorHAnsi" w:hAnsiTheme="majorHAnsi"/>
          <w:b/>
        </w:rPr>
        <w:endnoteReference w:id="1"/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>The population of Point Cook</w:t>
      </w:r>
      <w:r w:rsidR="00A1569C">
        <w:rPr>
          <w:rFonts w:asciiTheme="majorHAnsi" w:hAnsiTheme="majorHAnsi"/>
        </w:rPr>
        <w:t xml:space="preserve"> is forecast to increase by 3</w:t>
      </w:r>
      <w:r w:rsidR="00992062">
        <w:rPr>
          <w:rFonts w:asciiTheme="majorHAnsi" w:hAnsiTheme="majorHAnsi"/>
        </w:rPr>
        <w:t>0.4</w:t>
      </w:r>
      <w:r w:rsidRPr="00581959">
        <w:rPr>
          <w:rFonts w:asciiTheme="majorHAnsi" w:hAnsiTheme="majorHAnsi"/>
        </w:rPr>
        <w:t>% between 201</w:t>
      </w:r>
      <w:r w:rsidR="00992062">
        <w:rPr>
          <w:rFonts w:asciiTheme="majorHAnsi" w:hAnsiTheme="majorHAnsi"/>
        </w:rPr>
        <w:t>8 and 2041</w:t>
      </w:r>
      <w:r w:rsidRPr="00581959">
        <w:rPr>
          <w:rFonts w:asciiTheme="majorHAnsi" w:hAnsiTheme="majorHAnsi"/>
        </w:rPr>
        <w:t xml:space="preserve">, from </w:t>
      </w:r>
      <w:r w:rsidR="008E5F1D">
        <w:rPr>
          <w:rFonts w:asciiTheme="majorHAnsi" w:hAnsiTheme="majorHAnsi"/>
        </w:rPr>
        <w:t xml:space="preserve">around </w:t>
      </w:r>
      <w:r w:rsidR="00992062">
        <w:rPr>
          <w:rFonts w:asciiTheme="majorHAnsi" w:hAnsiTheme="majorHAnsi"/>
        </w:rPr>
        <w:t>61</w:t>
      </w:r>
      <w:r w:rsidR="008E5F1D">
        <w:rPr>
          <w:rFonts w:asciiTheme="majorHAnsi" w:hAnsiTheme="majorHAnsi"/>
        </w:rPr>
        <w:t>,000</w:t>
      </w:r>
      <w:r w:rsidRPr="00581959">
        <w:rPr>
          <w:rFonts w:asciiTheme="majorHAnsi" w:hAnsiTheme="majorHAnsi"/>
        </w:rPr>
        <w:t xml:space="preserve"> residents to</w:t>
      </w:r>
      <w:r w:rsidR="00A1569C">
        <w:rPr>
          <w:rFonts w:asciiTheme="majorHAnsi" w:hAnsiTheme="majorHAnsi"/>
        </w:rPr>
        <w:t xml:space="preserve"> almost</w:t>
      </w:r>
      <w:r w:rsidR="00992062">
        <w:rPr>
          <w:rFonts w:asciiTheme="majorHAnsi" w:hAnsiTheme="majorHAnsi"/>
        </w:rPr>
        <w:t xml:space="preserve"> 80</w:t>
      </w:r>
      <w:r w:rsidR="00A1569C">
        <w:rPr>
          <w:rFonts w:asciiTheme="majorHAnsi" w:hAnsiTheme="majorHAnsi"/>
        </w:rPr>
        <w:t>,000</w:t>
      </w:r>
      <w:r w:rsidRPr="00581959">
        <w:rPr>
          <w:rFonts w:asciiTheme="majorHAnsi" w:hAnsiTheme="majorHAnsi"/>
        </w:rPr>
        <w:t>.</w:t>
      </w:r>
      <w:r w:rsidR="00A1569C">
        <w:rPr>
          <w:rFonts w:asciiTheme="majorHAnsi" w:hAnsiTheme="majorHAnsi"/>
        </w:rPr>
        <w:t xml:space="preserve"> </w:t>
      </w:r>
      <w:proofErr w:type="gramStart"/>
      <w:r w:rsidR="00A1569C">
        <w:rPr>
          <w:rFonts w:asciiTheme="majorHAnsi" w:hAnsiTheme="majorHAnsi"/>
        </w:rPr>
        <w:t>The majority of</w:t>
      </w:r>
      <w:proofErr w:type="gramEnd"/>
      <w:r w:rsidR="00A1569C">
        <w:rPr>
          <w:rFonts w:asciiTheme="majorHAnsi" w:hAnsiTheme="majorHAnsi"/>
        </w:rPr>
        <w:t xml:space="preserve"> growth is forecast from 201</w:t>
      </w:r>
      <w:r w:rsidR="00992062">
        <w:rPr>
          <w:rFonts w:asciiTheme="majorHAnsi" w:hAnsiTheme="majorHAnsi"/>
        </w:rPr>
        <w:t>8</w:t>
      </w:r>
      <w:r w:rsidR="00A1569C">
        <w:rPr>
          <w:rFonts w:asciiTheme="majorHAnsi" w:hAnsiTheme="majorHAnsi"/>
        </w:rPr>
        <w:t xml:space="preserve"> to 2026</w:t>
      </w:r>
      <w:r w:rsidR="007A6BE0">
        <w:rPr>
          <w:rFonts w:asciiTheme="majorHAnsi" w:hAnsiTheme="majorHAnsi"/>
        </w:rPr>
        <w:t xml:space="preserve"> (34%)</w:t>
      </w:r>
      <w:r w:rsidR="00A1569C">
        <w:rPr>
          <w:rFonts w:asciiTheme="majorHAnsi" w:hAnsiTheme="majorHAnsi"/>
        </w:rPr>
        <w:t xml:space="preserve">. Thereafter, the population is only likely to increase by </w:t>
      </w:r>
      <w:r w:rsidR="007A6BE0">
        <w:rPr>
          <w:rFonts w:asciiTheme="majorHAnsi" w:hAnsiTheme="majorHAnsi"/>
        </w:rPr>
        <w:t xml:space="preserve">around </w:t>
      </w:r>
      <w:r w:rsidR="00A1569C">
        <w:rPr>
          <w:rFonts w:asciiTheme="majorHAnsi" w:hAnsiTheme="majorHAnsi"/>
        </w:rPr>
        <w:t xml:space="preserve">3% over 10 years (2026-2036). </w:t>
      </w:r>
    </w:p>
    <w:p w:rsidR="00581959" w:rsidRPr="00581959" w:rsidRDefault="00581959" w:rsidP="00581959">
      <w:pPr>
        <w:spacing w:after="0"/>
        <w:rPr>
          <w:rFonts w:asciiTheme="majorHAnsi" w:hAnsiTheme="majorHAnsi"/>
        </w:rPr>
      </w:pPr>
      <w:r w:rsidRPr="00581959">
        <w:rPr>
          <w:rFonts w:asciiTheme="majorHAnsi" w:hAnsiTheme="majorHAnsi"/>
          <w:b/>
        </w:rPr>
        <w:t>Age</w:t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>The median age of Point Cook residents is the same as the Wyndham wide median of 32 years. Over 21% of Point Cook’s population is under 9 years of age, compared to 18% across Wyndham.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>Births</w:t>
      </w:r>
    </w:p>
    <w:p w:rsidR="00581959" w:rsidRPr="00581959" w:rsidRDefault="00992062" w:rsidP="0058195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There were 1,064</w:t>
      </w:r>
      <w:r w:rsidR="00581959" w:rsidRPr="00581959">
        <w:rPr>
          <w:rFonts w:asciiTheme="majorHAnsi" w:hAnsiTheme="majorHAnsi"/>
        </w:rPr>
        <w:t xml:space="preserve"> births to parents living in Point Cook in 201</w:t>
      </w:r>
      <w:r>
        <w:rPr>
          <w:rFonts w:asciiTheme="majorHAnsi" w:hAnsiTheme="majorHAnsi"/>
        </w:rPr>
        <w:t>6, almost identical to 2015</w:t>
      </w:r>
      <w:r w:rsidR="00581959" w:rsidRPr="00581959">
        <w:rPr>
          <w:rFonts w:asciiTheme="majorHAnsi" w:hAnsiTheme="majorHAnsi"/>
        </w:rPr>
        <w:t xml:space="preserve">. 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 xml:space="preserve">Cultural Diversity </w:t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 xml:space="preserve">Point Cook is a culturally diverse suburb, with 47% of residents born outside Australia. 44% of Point Cook residents speak a language other than English at home compared to 41% across Wyndham. Mandarin, Hindi, Cantonese, Indonesian and Punjabi were the most common languages spoken. 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>Households</w:t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>There are an estimated 1</w:t>
      </w:r>
      <w:r w:rsidR="00992062">
        <w:rPr>
          <w:rFonts w:asciiTheme="majorHAnsi" w:hAnsiTheme="majorHAnsi"/>
        </w:rPr>
        <w:t>9,645</w:t>
      </w:r>
      <w:r w:rsidRPr="00581959">
        <w:rPr>
          <w:rFonts w:asciiTheme="majorHAnsi" w:hAnsiTheme="majorHAnsi"/>
        </w:rPr>
        <w:t xml:space="preserve"> </w:t>
      </w:r>
      <w:r w:rsidR="00992062">
        <w:rPr>
          <w:rFonts w:asciiTheme="majorHAnsi" w:hAnsiTheme="majorHAnsi"/>
        </w:rPr>
        <w:t>households in Point Cook in 2018</w:t>
      </w:r>
      <w:r w:rsidRPr="00581959">
        <w:rPr>
          <w:rFonts w:asciiTheme="majorHAnsi" w:hAnsiTheme="majorHAnsi"/>
        </w:rPr>
        <w:t>. Similar to the Wyndham wi</w:t>
      </w:r>
      <w:r w:rsidR="00992062">
        <w:rPr>
          <w:rFonts w:asciiTheme="majorHAnsi" w:hAnsiTheme="majorHAnsi"/>
        </w:rPr>
        <w:t>de average, there are around 3.1</w:t>
      </w:r>
      <w:bookmarkStart w:id="0" w:name="_GoBack"/>
      <w:bookmarkEnd w:id="0"/>
      <w:r w:rsidRPr="00581959">
        <w:rPr>
          <w:rFonts w:asciiTheme="majorHAnsi" w:hAnsiTheme="majorHAnsi"/>
        </w:rPr>
        <w:t xml:space="preserve"> people living in each household. </w:t>
      </w:r>
      <w:r w:rsidR="008E5F1D">
        <w:rPr>
          <w:rFonts w:asciiTheme="majorHAnsi" w:hAnsiTheme="majorHAnsi"/>
        </w:rPr>
        <w:t>H</w:t>
      </w:r>
      <w:r w:rsidRPr="00581959">
        <w:rPr>
          <w:rFonts w:asciiTheme="majorHAnsi" w:hAnsiTheme="majorHAnsi"/>
        </w:rPr>
        <w:t xml:space="preserve">alf of households in Point Cook are occupied by couple families with children.  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>Tenure</w:t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 xml:space="preserve">Slightly less than half of all homes in Point Cook are owned with a mortgage (47%), and just over one quarter (26%) are rented. </w:t>
      </w:r>
      <w:r w:rsidR="008E5F1D">
        <w:rPr>
          <w:rFonts w:asciiTheme="majorHAnsi" w:hAnsiTheme="majorHAnsi"/>
        </w:rPr>
        <w:t xml:space="preserve">Compared to Wyndham, there are proportionally fewer fully owned homes in Point Cook (18% and 13% respectively). 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 xml:space="preserve">Employment </w:t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 xml:space="preserve">The most common industries of employment in Point Cook were </w:t>
      </w:r>
      <w:r w:rsidR="0078365C">
        <w:rPr>
          <w:rFonts w:asciiTheme="majorHAnsi" w:hAnsiTheme="majorHAnsi"/>
        </w:rPr>
        <w:t xml:space="preserve">health care and social assistance, </w:t>
      </w:r>
      <w:r w:rsidRPr="00581959">
        <w:rPr>
          <w:rFonts w:asciiTheme="majorHAnsi" w:hAnsiTheme="majorHAnsi"/>
        </w:rPr>
        <w:t xml:space="preserve">professional, scientific and technical services, </w:t>
      </w:r>
      <w:r w:rsidR="0078365C">
        <w:rPr>
          <w:rFonts w:asciiTheme="majorHAnsi" w:hAnsiTheme="majorHAnsi"/>
        </w:rPr>
        <w:t>and retail</w:t>
      </w:r>
      <w:r w:rsidR="00EC0541">
        <w:rPr>
          <w:rFonts w:asciiTheme="majorHAnsi" w:hAnsiTheme="majorHAnsi"/>
        </w:rPr>
        <w:t xml:space="preserve">. The most common occupations were professionals, followed by managers and clerical and administrative workers. 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lastRenderedPageBreak/>
        <w:t>Journey to work</w:t>
      </w:r>
      <w:r w:rsidR="007E54B8">
        <w:rPr>
          <w:rStyle w:val="EndnoteReference"/>
          <w:rFonts w:asciiTheme="majorHAnsi" w:hAnsiTheme="majorHAnsi"/>
          <w:b/>
        </w:rPr>
        <w:endnoteReference w:id="2"/>
      </w:r>
    </w:p>
    <w:p w:rsidR="00581959" w:rsidRPr="00581959" w:rsidRDefault="004601C2" w:rsidP="0058195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581959" w:rsidRPr="00581959">
        <w:rPr>
          <w:rFonts w:asciiTheme="majorHAnsi" w:hAnsiTheme="majorHAnsi"/>
        </w:rPr>
        <w:t>ar as driver was the most common mode of transport to work for Point Cook residents (</w:t>
      </w:r>
      <w:r w:rsidR="00A727FB">
        <w:rPr>
          <w:rFonts w:asciiTheme="majorHAnsi" w:hAnsiTheme="majorHAnsi"/>
        </w:rPr>
        <w:t>66</w:t>
      </w:r>
      <w:r w:rsidR="00581959" w:rsidRPr="00581959">
        <w:rPr>
          <w:rFonts w:asciiTheme="majorHAnsi" w:hAnsiTheme="majorHAnsi"/>
        </w:rPr>
        <w:t xml:space="preserve">%). Train travel was a </w:t>
      </w:r>
      <w:r w:rsidR="005E72C9">
        <w:rPr>
          <w:rFonts w:asciiTheme="majorHAnsi" w:hAnsiTheme="majorHAnsi"/>
        </w:rPr>
        <w:t xml:space="preserve">slightly </w:t>
      </w:r>
      <w:r w:rsidR="00581959" w:rsidRPr="00581959">
        <w:rPr>
          <w:rFonts w:asciiTheme="majorHAnsi" w:hAnsiTheme="majorHAnsi"/>
        </w:rPr>
        <w:t>more common method of transport for Point Cook employees (</w:t>
      </w:r>
      <w:r w:rsidR="00472900">
        <w:rPr>
          <w:rFonts w:asciiTheme="majorHAnsi" w:hAnsiTheme="majorHAnsi"/>
        </w:rPr>
        <w:t>16.</w:t>
      </w:r>
      <w:r w:rsidR="00A727FB">
        <w:rPr>
          <w:rFonts w:asciiTheme="majorHAnsi" w:hAnsiTheme="majorHAnsi"/>
        </w:rPr>
        <w:t>3</w:t>
      </w:r>
      <w:r w:rsidR="00581959" w:rsidRPr="00581959">
        <w:rPr>
          <w:rFonts w:asciiTheme="majorHAnsi" w:hAnsiTheme="majorHAnsi"/>
        </w:rPr>
        <w:t>%) compared to Wyndham employees (</w:t>
      </w:r>
      <w:r w:rsidR="00472900">
        <w:rPr>
          <w:rFonts w:asciiTheme="majorHAnsi" w:hAnsiTheme="majorHAnsi"/>
        </w:rPr>
        <w:t>14.5</w:t>
      </w:r>
      <w:r w:rsidR="00581959" w:rsidRPr="00581959">
        <w:rPr>
          <w:rFonts w:asciiTheme="majorHAnsi" w:hAnsiTheme="majorHAnsi"/>
        </w:rPr>
        <w:t>%).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>Education</w:t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>The Point Cook</w:t>
      </w:r>
      <w:r w:rsidR="001D442B">
        <w:rPr>
          <w:rFonts w:asciiTheme="majorHAnsi" w:hAnsiTheme="majorHAnsi"/>
        </w:rPr>
        <w:t xml:space="preserve"> residents</w:t>
      </w:r>
      <w:r w:rsidRPr="00581959">
        <w:rPr>
          <w:rFonts w:asciiTheme="majorHAnsi" w:hAnsiTheme="majorHAnsi"/>
        </w:rPr>
        <w:t xml:space="preserve"> have higher levels of education than Wyndham </w:t>
      </w:r>
      <w:r w:rsidR="001D442B">
        <w:rPr>
          <w:rFonts w:asciiTheme="majorHAnsi" w:hAnsiTheme="majorHAnsi"/>
        </w:rPr>
        <w:t xml:space="preserve">residents </w:t>
      </w:r>
      <w:r w:rsidRPr="00581959">
        <w:rPr>
          <w:rFonts w:asciiTheme="majorHAnsi" w:hAnsiTheme="majorHAnsi"/>
        </w:rPr>
        <w:t>overall. In 201</w:t>
      </w:r>
      <w:r w:rsidR="005E72C9">
        <w:rPr>
          <w:rFonts w:asciiTheme="majorHAnsi" w:hAnsiTheme="majorHAnsi"/>
        </w:rPr>
        <w:t>6</w:t>
      </w:r>
      <w:r w:rsidRPr="00581959">
        <w:rPr>
          <w:rFonts w:asciiTheme="majorHAnsi" w:hAnsiTheme="majorHAnsi"/>
        </w:rPr>
        <w:t xml:space="preserve">, </w:t>
      </w:r>
      <w:r w:rsidR="00472900">
        <w:rPr>
          <w:rFonts w:asciiTheme="majorHAnsi" w:hAnsiTheme="majorHAnsi"/>
        </w:rPr>
        <w:t>a greater proportion of Point Cook residents over 15 years of age had achieved a bachelor or higher degree (</w:t>
      </w:r>
      <w:r w:rsidRPr="00581959">
        <w:rPr>
          <w:rFonts w:asciiTheme="majorHAnsi" w:hAnsiTheme="majorHAnsi"/>
        </w:rPr>
        <w:t>3</w:t>
      </w:r>
      <w:r w:rsidR="005E72C9">
        <w:rPr>
          <w:rFonts w:asciiTheme="majorHAnsi" w:hAnsiTheme="majorHAnsi"/>
        </w:rPr>
        <w:t>5</w:t>
      </w:r>
      <w:r w:rsidRPr="00581959">
        <w:rPr>
          <w:rFonts w:asciiTheme="majorHAnsi" w:hAnsiTheme="majorHAnsi"/>
        </w:rPr>
        <w:t>%</w:t>
      </w:r>
      <w:r w:rsidR="00472900">
        <w:rPr>
          <w:rFonts w:asciiTheme="majorHAnsi" w:hAnsiTheme="majorHAnsi"/>
        </w:rPr>
        <w:t>), compared to Wyndham</w:t>
      </w:r>
      <w:r w:rsidR="0029737D">
        <w:rPr>
          <w:rFonts w:asciiTheme="majorHAnsi" w:hAnsiTheme="majorHAnsi"/>
        </w:rPr>
        <w:t xml:space="preserve"> (24%)</w:t>
      </w:r>
      <w:r w:rsidR="00472900">
        <w:rPr>
          <w:rFonts w:asciiTheme="majorHAnsi" w:hAnsiTheme="majorHAnsi"/>
        </w:rPr>
        <w:t xml:space="preserve">. </w:t>
      </w:r>
      <w:r w:rsidRPr="00581959">
        <w:rPr>
          <w:rFonts w:asciiTheme="majorHAnsi" w:hAnsiTheme="majorHAnsi"/>
        </w:rPr>
        <w:t xml:space="preserve">    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 xml:space="preserve">Need for assistance </w:t>
      </w:r>
    </w:p>
    <w:p w:rsidR="00581959" w:rsidRPr="00581959" w:rsidRDefault="00581959" w:rsidP="00581959">
      <w:pPr>
        <w:spacing w:after="120"/>
        <w:rPr>
          <w:rFonts w:asciiTheme="majorHAnsi" w:hAnsiTheme="majorHAnsi"/>
        </w:rPr>
      </w:pPr>
      <w:r w:rsidRPr="00581959">
        <w:rPr>
          <w:rFonts w:asciiTheme="majorHAnsi" w:hAnsiTheme="majorHAnsi"/>
        </w:rPr>
        <w:t xml:space="preserve">Over 1,200 Point Cook residents require assistance with core activities; around 2.5% of the population. </w:t>
      </w:r>
    </w:p>
    <w:p w:rsidR="00581959" w:rsidRPr="00581959" w:rsidRDefault="00581959" w:rsidP="00581959">
      <w:pPr>
        <w:spacing w:after="0"/>
        <w:rPr>
          <w:rFonts w:asciiTheme="majorHAnsi" w:hAnsiTheme="majorHAnsi"/>
          <w:b/>
        </w:rPr>
      </w:pPr>
      <w:r w:rsidRPr="00581959">
        <w:rPr>
          <w:rFonts w:asciiTheme="majorHAnsi" w:hAnsiTheme="majorHAnsi"/>
          <w:b/>
        </w:rPr>
        <w:t>SEIFA Index of Relative Social Disadvantage (IRSD)</w:t>
      </w:r>
    </w:p>
    <w:p w:rsidR="00C723DB" w:rsidRDefault="00581959" w:rsidP="00581959">
      <w:pPr>
        <w:pStyle w:val="Header03"/>
        <w:rPr>
          <w:rFonts w:asciiTheme="majorHAnsi" w:hAnsiTheme="majorHAnsi"/>
          <w:color w:val="auto"/>
          <w:sz w:val="22"/>
          <w:szCs w:val="22"/>
        </w:rPr>
      </w:pPr>
      <w:r w:rsidRPr="00581959">
        <w:rPr>
          <w:rFonts w:asciiTheme="majorHAnsi" w:hAnsiTheme="majorHAnsi"/>
          <w:color w:val="auto"/>
          <w:sz w:val="22"/>
          <w:szCs w:val="22"/>
        </w:rPr>
        <w:t>In 201</w:t>
      </w:r>
      <w:r w:rsidR="007607F3">
        <w:rPr>
          <w:rFonts w:asciiTheme="majorHAnsi" w:hAnsiTheme="majorHAnsi"/>
          <w:color w:val="auto"/>
          <w:sz w:val="22"/>
          <w:szCs w:val="22"/>
        </w:rPr>
        <w:t>6</w:t>
      </w:r>
      <w:r w:rsidRPr="00581959">
        <w:rPr>
          <w:rFonts w:asciiTheme="majorHAnsi" w:hAnsiTheme="majorHAnsi"/>
          <w:color w:val="auto"/>
          <w:sz w:val="22"/>
          <w:szCs w:val="22"/>
        </w:rPr>
        <w:t xml:space="preserve"> Point Cook had a SEIFA IRSD score of 1</w:t>
      </w:r>
      <w:r w:rsidR="007607F3">
        <w:rPr>
          <w:rFonts w:asciiTheme="majorHAnsi" w:hAnsiTheme="majorHAnsi"/>
          <w:color w:val="auto"/>
          <w:sz w:val="22"/>
          <w:szCs w:val="22"/>
        </w:rPr>
        <w:t>071</w:t>
      </w:r>
      <w:r w:rsidRPr="00581959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7607F3">
        <w:rPr>
          <w:rFonts w:asciiTheme="majorHAnsi" w:hAnsiTheme="majorHAnsi"/>
          <w:color w:val="auto"/>
          <w:sz w:val="22"/>
          <w:szCs w:val="22"/>
        </w:rPr>
        <w:t xml:space="preserve">one of </w:t>
      </w:r>
      <w:r w:rsidRPr="00581959">
        <w:rPr>
          <w:rFonts w:asciiTheme="majorHAnsi" w:hAnsiTheme="majorHAnsi"/>
          <w:color w:val="auto"/>
          <w:sz w:val="22"/>
          <w:szCs w:val="22"/>
        </w:rPr>
        <w:t xml:space="preserve">the highest in the municipality; this means it is </w:t>
      </w:r>
      <w:r w:rsidR="007607F3">
        <w:rPr>
          <w:rFonts w:asciiTheme="majorHAnsi" w:hAnsiTheme="majorHAnsi"/>
          <w:color w:val="auto"/>
          <w:sz w:val="22"/>
          <w:szCs w:val="22"/>
        </w:rPr>
        <w:t xml:space="preserve">one of </w:t>
      </w:r>
      <w:r w:rsidRPr="00581959">
        <w:rPr>
          <w:rFonts w:asciiTheme="majorHAnsi" w:hAnsiTheme="majorHAnsi"/>
          <w:color w:val="auto"/>
          <w:sz w:val="22"/>
          <w:szCs w:val="22"/>
        </w:rPr>
        <w:t>the l</w:t>
      </w:r>
      <w:r w:rsidR="00E951A9">
        <w:rPr>
          <w:rFonts w:asciiTheme="majorHAnsi" w:hAnsiTheme="majorHAnsi"/>
          <w:color w:val="auto"/>
          <w:sz w:val="22"/>
          <w:szCs w:val="22"/>
        </w:rPr>
        <w:t>east disadvantaged suburb in Wyndham</w:t>
      </w:r>
      <w:r w:rsidRPr="00581959">
        <w:rPr>
          <w:rFonts w:asciiTheme="majorHAnsi" w:hAnsiTheme="majorHAnsi"/>
          <w:color w:val="auto"/>
          <w:sz w:val="22"/>
          <w:szCs w:val="22"/>
        </w:rPr>
        <w:t>.</w:t>
      </w:r>
    </w:p>
    <w:p w:rsidR="00975FD1" w:rsidRDefault="00975FD1" w:rsidP="00975FD1">
      <w:pPr>
        <w:pStyle w:val="Heading1"/>
        <w:rPr>
          <w:color w:val="auto"/>
          <w:sz w:val="22"/>
          <w:szCs w:val="22"/>
          <w:u w:val="single"/>
        </w:rPr>
      </w:pPr>
    </w:p>
    <w:p w:rsidR="00975FD1" w:rsidRDefault="00975FD1" w:rsidP="00975FD1">
      <w:pPr>
        <w:pStyle w:val="Heading1"/>
        <w:rPr>
          <w:color w:val="auto"/>
          <w:sz w:val="22"/>
          <w:szCs w:val="22"/>
          <w:u w:val="single"/>
        </w:rPr>
      </w:pPr>
    </w:p>
    <w:p w:rsidR="00975FD1" w:rsidRDefault="00975FD1" w:rsidP="00975FD1">
      <w:pPr>
        <w:pStyle w:val="Heading1"/>
        <w:rPr>
          <w:color w:val="auto"/>
          <w:sz w:val="22"/>
          <w:szCs w:val="22"/>
          <w:u w:val="single"/>
        </w:rPr>
      </w:pPr>
    </w:p>
    <w:p w:rsidR="00975FD1" w:rsidRDefault="00975FD1" w:rsidP="00975FD1">
      <w:pPr>
        <w:pStyle w:val="Heading1"/>
        <w:rPr>
          <w:color w:val="auto"/>
          <w:sz w:val="22"/>
          <w:szCs w:val="22"/>
          <w:u w:val="single"/>
        </w:rPr>
      </w:pPr>
    </w:p>
    <w:p w:rsidR="00A727FB" w:rsidRDefault="00A727FB" w:rsidP="00A727FB"/>
    <w:p w:rsidR="00A727FB" w:rsidRDefault="00A727FB" w:rsidP="00A727FB"/>
    <w:p w:rsidR="00A727FB" w:rsidRPr="00A727FB" w:rsidRDefault="00A727FB" w:rsidP="00A727FB"/>
    <w:p w:rsidR="00975FD1" w:rsidRPr="00D67679" w:rsidRDefault="00975FD1" w:rsidP="00975FD1">
      <w:pPr>
        <w:pStyle w:val="Heading1"/>
        <w:rPr>
          <w:color w:val="auto"/>
          <w:sz w:val="22"/>
          <w:szCs w:val="22"/>
          <w:u w:val="single"/>
        </w:rPr>
      </w:pPr>
      <w:r w:rsidRPr="00D67679">
        <w:rPr>
          <w:color w:val="auto"/>
          <w:sz w:val="22"/>
          <w:szCs w:val="22"/>
          <w:u w:val="single"/>
        </w:rPr>
        <w:t>References</w:t>
      </w:r>
    </w:p>
    <w:p w:rsidR="00975FD1" w:rsidRPr="00D67679" w:rsidRDefault="00975FD1" w:rsidP="00975FD1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  <w:sz w:val="16"/>
          <w:szCs w:val="16"/>
        </w:rPr>
      </w:pPr>
      <w:r w:rsidRPr="00D67679">
        <w:rPr>
          <w:rFonts w:asciiTheme="majorHAnsi" w:hAnsiTheme="majorHAnsi"/>
          <w:sz w:val="16"/>
          <w:szCs w:val="16"/>
        </w:rPr>
        <w:t xml:space="preserve">Australian Bureau of Statistics. (2011 and 2016). </w:t>
      </w:r>
      <w:r w:rsidRPr="00D67679">
        <w:rPr>
          <w:rFonts w:asciiTheme="majorHAnsi" w:hAnsiTheme="majorHAnsi"/>
          <w:i/>
          <w:sz w:val="16"/>
          <w:szCs w:val="16"/>
        </w:rPr>
        <w:t xml:space="preserve">Census of Population and Housing. </w:t>
      </w:r>
      <w:r w:rsidRPr="00D67679">
        <w:rPr>
          <w:rFonts w:asciiTheme="majorHAnsi" w:hAnsiTheme="majorHAnsi"/>
          <w:sz w:val="16"/>
          <w:szCs w:val="16"/>
        </w:rPr>
        <w:t xml:space="preserve">Compiled and analysed by ID Consulting </w:t>
      </w:r>
      <w:hyperlink r:id="rId8" w:history="1">
        <w:r w:rsidRPr="00D67679">
          <w:rPr>
            <w:rStyle w:val="Hyperlink"/>
            <w:rFonts w:asciiTheme="majorHAnsi" w:hAnsiTheme="majorHAnsi"/>
            <w:color w:val="auto"/>
            <w:sz w:val="16"/>
            <w:szCs w:val="16"/>
          </w:rPr>
          <w:t>http://profile.id.com.au/wyndham</w:t>
        </w:r>
      </w:hyperlink>
    </w:p>
    <w:p w:rsidR="00975FD1" w:rsidRPr="00D67679" w:rsidRDefault="00975FD1" w:rsidP="00975FD1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  <w:sz w:val="16"/>
          <w:szCs w:val="16"/>
        </w:rPr>
      </w:pPr>
      <w:r w:rsidRPr="00D67679">
        <w:rPr>
          <w:rFonts w:asciiTheme="majorHAnsi" w:hAnsiTheme="majorHAnsi"/>
          <w:sz w:val="16"/>
          <w:szCs w:val="16"/>
        </w:rPr>
        <w:t xml:space="preserve">Australian Bureau of Statistics. (2011 and 2016). </w:t>
      </w:r>
      <w:r w:rsidRPr="00D67679">
        <w:rPr>
          <w:rFonts w:asciiTheme="majorHAnsi" w:hAnsiTheme="majorHAnsi"/>
          <w:i/>
          <w:sz w:val="16"/>
          <w:szCs w:val="16"/>
        </w:rPr>
        <w:t xml:space="preserve">Census of Population and Housing. </w:t>
      </w:r>
      <w:r w:rsidRPr="00D67679">
        <w:rPr>
          <w:rFonts w:asciiTheme="majorHAnsi" w:hAnsiTheme="majorHAnsi"/>
          <w:sz w:val="16"/>
          <w:szCs w:val="16"/>
        </w:rPr>
        <w:t xml:space="preserve">Compiled and analysed by Wyndham Council via Table Builder </w:t>
      </w:r>
      <w:hyperlink r:id="rId9" w:history="1">
        <w:r w:rsidRPr="00D67679">
          <w:rPr>
            <w:rStyle w:val="Hyperlink"/>
            <w:rFonts w:asciiTheme="majorHAnsi" w:hAnsiTheme="majorHAnsi"/>
            <w:color w:val="auto"/>
            <w:sz w:val="16"/>
            <w:szCs w:val="16"/>
          </w:rPr>
          <w:t>http://www.abs.gov.au/websitedbs/censushome.nsf/home/tablebuilder</w:t>
        </w:r>
      </w:hyperlink>
      <w:r w:rsidRPr="00D67679">
        <w:rPr>
          <w:rFonts w:asciiTheme="majorHAnsi" w:hAnsiTheme="majorHAnsi"/>
          <w:sz w:val="16"/>
          <w:szCs w:val="16"/>
        </w:rPr>
        <w:t xml:space="preserve">  </w:t>
      </w:r>
    </w:p>
    <w:p w:rsidR="00975FD1" w:rsidRPr="00D67679" w:rsidRDefault="00975FD1" w:rsidP="00975FD1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  <w:sz w:val="16"/>
          <w:szCs w:val="16"/>
        </w:rPr>
      </w:pPr>
      <w:r w:rsidRPr="00D67679">
        <w:rPr>
          <w:rFonts w:asciiTheme="majorHAnsi" w:hAnsiTheme="majorHAnsi"/>
          <w:sz w:val="16"/>
          <w:szCs w:val="16"/>
        </w:rPr>
        <w:t xml:space="preserve">Wyndham City Council. (2014). </w:t>
      </w:r>
      <w:r w:rsidRPr="00D67679">
        <w:rPr>
          <w:rFonts w:asciiTheme="majorHAnsi" w:hAnsiTheme="majorHAnsi"/>
          <w:i/>
          <w:sz w:val="16"/>
          <w:szCs w:val="16"/>
        </w:rPr>
        <w:t>Maternal and Child Health service - Births</w:t>
      </w:r>
    </w:p>
    <w:p w:rsidR="00975FD1" w:rsidRPr="00D67679" w:rsidRDefault="00975FD1" w:rsidP="00975FD1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  <w:sz w:val="16"/>
          <w:szCs w:val="16"/>
        </w:rPr>
      </w:pPr>
      <w:r w:rsidRPr="00D67679">
        <w:rPr>
          <w:rFonts w:asciiTheme="majorHAnsi" w:hAnsiTheme="majorHAnsi"/>
          <w:sz w:val="16"/>
          <w:szCs w:val="16"/>
        </w:rPr>
        <w:t xml:space="preserve">.ID Economic Profile. (2017). </w:t>
      </w:r>
      <w:r w:rsidRPr="00D67679">
        <w:rPr>
          <w:rFonts w:asciiTheme="majorHAnsi" w:hAnsiTheme="majorHAnsi"/>
          <w:i/>
          <w:sz w:val="16"/>
          <w:szCs w:val="16"/>
        </w:rPr>
        <w:t>City of Wyndham Economic Profile</w:t>
      </w:r>
      <w:r w:rsidRPr="00D67679">
        <w:rPr>
          <w:rFonts w:asciiTheme="majorHAnsi" w:hAnsiTheme="majorHAnsi"/>
          <w:sz w:val="16"/>
          <w:szCs w:val="16"/>
        </w:rPr>
        <w:t xml:space="preserve">. Retrieved from  </w:t>
      </w:r>
      <w:hyperlink r:id="rId10" w:history="1">
        <w:r w:rsidRPr="00D67679">
          <w:rPr>
            <w:rStyle w:val="Hyperlink"/>
            <w:rFonts w:asciiTheme="majorHAnsi" w:hAnsiTheme="majorHAnsi"/>
            <w:color w:val="auto"/>
            <w:sz w:val="16"/>
            <w:szCs w:val="16"/>
          </w:rPr>
          <w:t>http://economy.id.com.au/wyndham</w:t>
        </w:r>
      </w:hyperlink>
      <w:r w:rsidRPr="00D67679">
        <w:rPr>
          <w:rFonts w:asciiTheme="majorHAnsi" w:hAnsiTheme="majorHAnsi"/>
          <w:sz w:val="16"/>
          <w:szCs w:val="16"/>
        </w:rPr>
        <w:t xml:space="preserve"> </w:t>
      </w:r>
    </w:p>
    <w:p w:rsidR="00975FD1" w:rsidRPr="00D67679" w:rsidRDefault="00975FD1" w:rsidP="00975FD1">
      <w:pPr>
        <w:pStyle w:val="ListParagraph"/>
        <w:numPr>
          <w:ilvl w:val="0"/>
          <w:numId w:val="1"/>
        </w:numPr>
        <w:spacing w:after="120"/>
        <w:rPr>
          <w:rStyle w:val="Hyperlink"/>
          <w:rFonts w:asciiTheme="majorHAnsi" w:hAnsiTheme="majorHAnsi"/>
          <w:color w:val="auto"/>
          <w:sz w:val="16"/>
          <w:szCs w:val="16"/>
        </w:rPr>
      </w:pPr>
      <w:r w:rsidRPr="00D67679">
        <w:rPr>
          <w:rFonts w:asciiTheme="majorHAnsi" w:hAnsiTheme="majorHAnsi"/>
          <w:sz w:val="16"/>
          <w:szCs w:val="16"/>
        </w:rPr>
        <w:t xml:space="preserve">.ID Population Forecast. (2016). </w:t>
      </w:r>
      <w:r w:rsidRPr="00D67679">
        <w:rPr>
          <w:rFonts w:asciiTheme="majorHAnsi" w:hAnsiTheme="majorHAnsi"/>
          <w:i/>
          <w:sz w:val="16"/>
          <w:szCs w:val="16"/>
        </w:rPr>
        <w:t>City of Wyndham Population and Household Forecasts 201</w:t>
      </w:r>
      <w:r w:rsidR="00105559">
        <w:rPr>
          <w:rFonts w:asciiTheme="majorHAnsi" w:hAnsiTheme="majorHAnsi"/>
          <w:i/>
          <w:sz w:val="16"/>
          <w:szCs w:val="16"/>
        </w:rPr>
        <w:t>6</w:t>
      </w:r>
      <w:r w:rsidRPr="00D67679">
        <w:rPr>
          <w:rFonts w:asciiTheme="majorHAnsi" w:hAnsiTheme="majorHAnsi"/>
          <w:i/>
          <w:sz w:val="16"/>
          <w:szCs w:val="16"/>
        </w:rPr>
        <w:t>-2036</w:t>
      </w:r>
      <w:r w:rsidRPr="00D67679">
        <w:rPr>
          <w:rFonts w:asciiTheme="majorHAnsi" w:hAnsiTheme="majorHAnsi"/>
          <w:sz w:val="16"/>
          <w:szCs w:val="16"/>
        </w:rPr>
        <w:t xml:space="preserve">. Retrieved from </w:t>
      </w:r>
      <w:hyperlink r:id="rId11" w:history="1">
        <w:r w:rsidRPr="00D67679">
          <w:rPr>
            <w:rStyle w:val="Hyperlink"/>
            <w:rFonts w:asciiTheme="majorHAnsi" w:hAnsiTheme="majorHAnsi"/>
            <w:color w:val="auto"/>
            <w:sz w:val="16"/>
            <w:szCs w:val="16"/>
          </w:rPr>
          <w:t>http://forecast.id.com.au/wyndham</w:t>
        </w:r>
      </w:hyperlink>
    </w:p>
    <w:p w:rsidR="00975FD1" w:rsidRPr="00975FD1" w:rsidRDefault="00975FD1" w:rsidP="00975FD1">
      <w:pPr>
        <w:pStyle w:val="ListParagraph"/>
        <w:numPr>
          <w:ilvl w:val="0"/>
          <w:numId w:val="1"/>
        </w:numPr>
        <w:spacing w:after="120"/>
        <w:rPr>
          <w:sz w:val="16"/>
          <w:szCs w:val="16"/>
        </w:rPr>
      </w:pPr>
      <w:r w:rsidRPr="00D67679">
        <w:rPr>
          <w:rStyle w:val="Hyperlink"/>
          <w:rFonts w:asciiTheme="majorHAnsi" w:hAnsiTheme="majorHAnsi"/>
          <w:color w:val="auto"/>
          <w:sz w:val="16"/>
          <w:szCs w:val="16"/>
        </w:rPr>
        <w:t>Wyndham City Council. (</w:t>
      </w:r>
      <w:r w:rsidRPr="00044B2F">
        <w:rPr>
          <w:rStyle w:val="Hyperlink"/>
          <w:rFonts w:asciiTheme="majorHAnsi" w:hAnsiTheme="majorHAnsi"/>
          <w:color w:val="auto"/>
          <w:sz w:val="16"/>
          <w:szCs w:val="16"/>
        </w:rPr>
        <w:t>2016).</w:t>
      </w:r>
      <w:r w:rsidRPr="00044B2F">
        <w:rPr>
          <w:rStyle w:val="Hyperlink"/>
          <w:rFonts w:asciiTheme="majorHAnsi" w:hAnsiTheme="majorHAnsi"/>
          <w:i/>
          <w:color w:val="auto"/>
          <w:sz w:val="16"/>
          <w:szCs w:val="16"/>
        </w:rPr>
        <w:t xml:space="preserve"> </w:t>
      </w:r>
      <w:r w:rsidRPr="00044B2F">
        <w:rPr>
          <w:rStyle w:val="Hyperlink"/>
          <w:rFonts w:asciiTheme="majorHAnsi" w:hAnsiTheme="majorHAnsi"/>
          <w:i/>
          <w:color w:val="auto"/>
          <w:sz w:val="16"/>
          <w:szCs w:val="16"/>
          <w:u w:val="none"/>
        </w:rPr>
        <w:t xml:space="preserve">Know Your Councillor &amp; Ward. Retrieved from </w:t>
      </w:r>
      <w:hyperlink r:id="rId12" w:history="1">
        <w:r w:rsidR="00044B2F" w:rsidRPr="00044B2F">
          <w:rPr>
            <w:rStyle w:val="Hyperlink"/>
            <w:rFonts w:asciiTheme="majorHAnsi" w:hAnsiTheme="majorHAnsi"/>
            <w:color w:val="auto"/>
            <w:sz w:val="16"/>
            <w:szCs w:val="16"/>
          </w:rPr>
          <w:t>https://www.wyndham.vic.gov.au/about-council/councillors-wards/know-your-councillor-ward</w:t>
        </w:r>
      </w:hyperlink>
      <w:r w:rsidR="00044B2F" w:rsidRPr="00044B2F">
        <w:rPr>
          <w:rFonts w:asciiTheme="majorHAnsi" w:hAnsiTheme="majorHAnsi"/>
          <w:sz w:val="16"/>
          <w:szCs w:val="16"/>
        </w:rPr>
        <w:t xml:space="preserve"> </w:t>
      </w:r>
    </w:p>
    <w:sectPr w:rsidR="00975FD1" w:rsidRPr="00975FD1" w:rsidSect="00581959">
      <w:footerReference w:type="default" r:id="rId13"/>
      <w:headerReference w:type="first" r:id="rId14"/>
      <w:type w:val="continuous"/>
      <w:pgSz w:w="11900" w:h="16840"/>
      <w:pgMar w:top="1625" w:right="851" w:bottom="851" w:left="851" w:header="510" w:footer="709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059" w:rsidRDefault="00647059" w:rsidP="00D62CF1">
      <w:r>
        <w:separator/>
      </w:r>
    </w:p>
  </w:endnote>
  <w:endnote w:type="continuationSeparator" w:id="0">
    <w:p w:rsidR="00647059" w:rsidRDefault="00647059" w:rsidP="00D62CF1">
      <w:r>
        <w:continuationSeparator/>
      </w:r>
    </w:p>
  </w:endnote>
  <w:endnote w:id="1">
    <w:p w:rsidR="007E54B8" w:rsidRPr="007E54B8" w:rsidRDefault="007E54B8">
      <w:pPr>
        <w:pStyle w:val="EndnoteText"/>
        <w:rPr>
          <w:rFonts w:asciiTheme="majorHAnsi" w:hAnsiTheme="majorHAnsi"/>
        </w:rPr>
      </w:pPr>
      <w:r>
        <w:rPr>
          <w:rStyle w:val="EndnoteReference"/>
        </w:rPr>
        <w:endnoteRef/>
      </w:r>
      <w:r>
        <w:t xml:space="preserve"> </w:t>
      </w:r>
      <w:r w:rsidR="00105559">
        <w:rPr>
          <w:rFonts w:asciiTheme="majorHAnsi" w:hAnsiTheme="majorHAnsi"/>
        </w:rPr>
        <w:t>.id Consulting base the 2016 population around estimates which account for the approximate 5% non-response rate in the Census and adjustments for births, deaths and net migration. As a result, the forecast 2016 population may differ from that reported in the population section of this profile.</w:t>
      </w:r>
    </w:p>
  </w:endnote>
  <w:endnote w:id="2">
    <w:p w:rsidR="007E54B8" w:rsidRPr="00A727FB" w:rsidRDefault="007E54B8">
      <w:pPr>
        <w:pStyle w:val="EndnoteText"/>
        <w:rPr>
          <w:rFonts w:asciiTheme="majorHAnsi" w:hAnsiTheme="majorHAnsi"/>
        </w:rPr>
      </w:pPr>
      <w:r>
        <w:rPr>
          <w:rStyle w:val="EndnoteReference"/>
        </w:rPr>
        <w:endnoteRef/>
      </w:r>
      <w:r>
        <w:rPr>
          <w:rFonts w:asciiTheme="majorHAnsi" w:hAnsiTheme="majorHAnsi"/>
        </w:rPr>
        <w:t xml:space="preserve"> </w:t>
      </w:r>
      <w:r w:rsidR="00A727FB" w:rsidRPr="007371AD">
        <w:rPr>
          <w:rFonts w:asciiTheme="majorHAnsi" w:hAnsiTheme="majorHAnsi"/>
        </w:rPr>
        <w:t>Method of travel to work data includes Car as driver and train as sole method of travel, and in conjunction with other transport modes (e.g. bus, car, tram etc.).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36F" w:rsidRPr="0034536F" w:rsidRDefault="0034536F" w:rsidP="0034536F">
    <w:pPr>
      <w:pStyle w:val="Footer"/>
      <w:pBdr>
        <w:top w:val="single" w:sz="12" w:space="1" w:color="002C55"/>
      </w:pBdr>
      <w:rPr>
        <w:rFonts w:ascii="DaxOT-Light" w:hAnsi="DaxOT-Light"/>
        <w:color w:val="002C55"/>
        <w:sz w:val="20"/>
      </w:rPr>
    </w:pPr>
    <w:r w:rsidRPr="00CF0D2B">
      <w:rPr>
        <w:rFonts w:ascii="DaxOT-Light" w:hAnsi="DaxOT-Light"/>
        <w:color w:val="002C55"/>
        <w:sz w:val="20"/>
      </w:rPr>
      <w:t>Wyndham City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059" w:rsidRDefault="00647059" w:rsidP="00D62CF1">
      <w:r>
        <w:separator/>
      </w:r>
    </w:p>
  </w:footnote>
  <w:footnote w:type="continuationSeparator" w:id="0">
    <w:p w:rsidR="00647059" w:rsidRDefault="00647059" w:rsidP="00D6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DE6" w:rsidRPr="00D62CF1" w:rsidRDefault="00FC0DE6" w:rsidP="00D62CF1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810B524" wp14:editId="4401F354">
          <wp:simplePos x="0" y="0"/>
          <wp:positionH relativeFrom="column">
            <wp:posOffset>-534670</wp:posOffset>
          </wp:positionH>
          <wp:positionV relativeFrom="paragraph">
            <wp:posOffset>-331190</wp:posOffset>
          </wp:positionV>
          <wp:extent cx="7562850" cy="3243532"/>
          <wp:effectExtent l="0" t="0" r="0" b="0"/>
          <wp:wrapNone/>
          <wp:docPr id="1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671"/>
                  <a:stretch/>
                </pic:blipFill>
                <pic:spPr bwMode="auto">
                  <a:xfrm>
                    <a:off x="0" y="0"/>
                    <a:ext cx="7562850" cy="3243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F281B"/>
    <w:multiLevelType w:val="hybridMultilevel"/>
    <w:tmpl w:val="8BF4BC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>
      <o:colormru v:ext="edit" colors="#f3f4f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59"/>
    <w:rsid w:val="00042998"/>
    <w:rsid w:val="0004478A"/>
    <w:rsid w:val="00044B2F"/>
    <w:rsid w:val="00066BC8"/>
    <w:rsid w:val="000D338F"/>
    <w:rsid w:val="000E4083"/>
    <w:rsid w:val="000F5687"/>
    <w:rsid w:val="0010335E"/>
    <w:rsid w:val="00105559"/>
    <w:rsid w:val="001D442B"/>
    <w:rsid w:val="00220144"/>
    <w:rsid w:val="00254715"/>
    <w:rsid w:val="0029737D"/>
    <w:rsid w:val="0034536F"/>
    <w:rsid w:val="00386175"/>
    <w:rsid w:val="003C0E22"/>
    <w:rsid w:val="003E2167"/>
    <w:rsid w:val="004141EE"/>
    <w:rsid w:val="0041664F"/>
    <w:rsid w:val="00430DB0"/>
    <w:rsid w:val="004601C2"/>
    <w:rsid w:val="00472900"/>
    <w:rsid w:val="004A31FF"/>
    <w:rsid w:val="00581959"/>
    <w:rsid w:val="005E72C9"/>
    <w:rsid w:val="00620D51"/>
    <w:rsid w:val="006357F8"/>
    <w:rsid w:val="00647059"/>
    <w:rsid w:val="00670C3A"/>
    <w:rsid w:val="006A3F1F"/>
    <w:rsid w:val="006F32E8"/>
    <w:rsid w:val="007607F3"/>
    <w:rsid w:val="0078365C"/>
    <w:rsid w:val="007A6BE0"/>
    <w:rsid w:val="007B2BEF"/>
    <w:rsid w:val="007E54B8"/>
    <w:rsid w:val="007F500D"/>
    <w:rsid w:val="007F7E71"/>
    <w:rsid w:val="00893A96"/>
    <w:rsid w:val="008E00DA"/>
    <w:rsid w:val="008E3DFE"/>
    <w:rsid w:val="008E5F1D"/>
    <w:rsid w:val="008F4FE4"/>
    <w:rsid w:val="00951D17"/>
    <w:rsid w:val="00975FD1"/>
    <w:rsid w:val="00992062"/>
    <w:rsid w:val="00996DAF"/>
    <w:rsid w:val="009E295A"/>
    <w:rsid w:val="00A1569C"/>
    <w:rsid w:val="00A727FB"/>
    <w:rsid w:val="00B16F22"/>
    <w:rsid w:val="00B70D45"/>
    <w:rsid w:val="00BB6A5D"/>
    <w:rsid w:val="00BD1367"/>
    <w:rsid w:val="00C54BCE"/>
    <w:rsid w:val="00C723DB"/>
    <w:rsid w:val="00CF04C7"/>
    <w:rsid w:val="00D47984"/>
    <w:rsid w:val="00D62CF1"/>
    <w:rsid w:val="00D84E93"/>
    <w:rsid w:val="00DF0D56"/>
    <w:rsid w:val="00E60950"/>
    <w:rsid w:val="00E62FDC"/>
    <w:rsid w:val="00E951A9"/>
    <w:rsid w:val="00EA0D4D"/>
    <w:rsid w:val="00EC0541"/>
    <w:rsid w:val="00F4181E"/>
    <w:rsid w:val="00F82156"/>
    <w:rsid w:val="00F87682"/>
    <w:rsid w:val="00FC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3f4f8"/>
    </o:shapedefaults>
    <o:shapelayout v:ext="edit">
      <o:idmap v:ext="edit" data="1"/>
    </o:shapelayout>
  </w:shapeDefaults>
  <w:decimalSymbol w:val="."/>
  <w:listSeparator w:val=","/>
  <w14:docId w14:val="08417D01"/>
  <w14:defaultImageDpi w14:val="300"/>
  <w15:docId w15:val="{8406D195-0764-4FCF-B684-213AAB26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MS Mincho" w:hAnsi="Helvetic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9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CF1"/>
    <w:pPr>
      <w:tabs>
        <w:tab w:val="center" w:pos="4320"/>
        <w:tab w:val="right" w:pos="8640"/>
      </w:tabs>
      <w:spacing w:after="0" w:line="240" w:lineRule="auto"/>
    </w:pPr>
    <w:rPr>
      <w:rFonts w:ascii="Helvetica" w:eastAsia="MS Mincho" w:hAnsi="Helvetic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62CF1"/>
  </w:style>
  <w:style w:type="paragraph" w:styleId="Footer">
    <w:name w:val="footer"/>
    <w:basedOn w:val="Normal"/>
    <w:link w:val="FooterChar"/>
    <w:uiPriority w:val="99"/>
    <w:unhideWhenUsed/>
    <w:rsid w:val="00D62CF1"/>
    <w:pPr>
      <w:tabs>
        <w:tab w:val="center" w:pos="4320"/>
        <w:tab w:val="right" w:pos="8640"/>
      </w:tabs>
      <w:spacing w:after="0" w:line="240" w:lineRule="auto"/>
    </w:pPr>
    <w:rPr>
      <w:rFonts w:ascii="Helvetica" w:eastAsia="MS Mincho" w:hAnsi="Helvetica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62CF1"/>
  </w:style>
  <w:style w:type="paragraph" w:styleId="BalloonText">
    <w:name w:val="Balloon Text"/>
    <w:basedOn w:val="Normal"/>
    <w:link w:val="BalloonTextChar"/>
    <w:uiPriority w:val="99"/>
    <w:semiHidden/>
    <w:unhideWhenUsed/>
    <w:rsid w:val="00D62C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2CF1"/>
    <w:rPr>
      <w:rFonts w:ascii="Lucida Grande" w:hAnsi="Lucida Grande" w:cs="Lucida Grande"/>
      <w:sz w:val="18"/>
      <w:szCs w:val="18"/>
    </w:rPr>
  </w:style>
  <w:style w:type="paragraph" w:customStyle="1" w:styleId="IntroPara01">
    <w:name w:val="_IntroPara01"/>
    <w:next w:val="Body01"/>
    <w:qFormat/>
    <w:rsid w:val="0010335E"/>
    <w:pPr>
      <w:spacing w:after="170"/>
    </w:pPr>
    <w:rPr>
      <w:rFonts w:ascii="Calibri" w:hAnsi="Calibri"/>
      <w:caps/>
      <w:sz w:val="28"/>
      <w:szCs w:val="28"/>
      <w:lang w:val="en-US"/>
    </w:rPr>
  </w:style>
  <w:style w:type="paragraph" w:customStyle="1" w:styleId="Header02">
    <w:name w:val="_Header02"/>
    <w:next w:val="IntroPara01"/>
    <w:qFormat/>
    <w:rsid w:val="006F32E8"/>
    <w:pPr>
      <w:spacing w:before="284" w:after="170"/>
    </w:pPr>
    <w:rPr>
      <w:rFonts w:ascii="Calibri" w:hAnsi="Calibri"/>
      <w:noProof/>
      <w:color w:val="25416B"/>
      <w:sz w:val="72"/>
      <w:szCs w:val="96"/>
      <w:lang w:val="en-US"/>
    </w:rPr>
  </w:style>
  <w:style w:type="paragraph" w:customStyle="1" w:styleId="Header03">
    <w:name w:val="_Header03"/>
    <w:next w:val="Body01"/>
    <w:qFormat/>
    <w:rsid w:val="006F32E8"/>
    <w:pPr>
      <w:spacing w:after="170"/>
    </w:pPr>
    <w:rPr>
      <w:rFonts w:ascii="Calibri" w:hAnsi="Calibri"/>
      <w:color w:val="25416B"/>
      <w:sz w:val="36"/>
      <w:szCs w:val="36"/>
      <w:lang w:val="en-GB"/>
    </w:rPr>
  </w:style>
  <w:style w:type="paragraph" w:customStyle="1" w:styleId="Header01">
    <w:name w:val="_Header01"/>
    <w:next w:val="IntroPara01"/>
    <w:qFormat/>
    <w:rsid w:val="004141EE"/>
    <w:pPr>
      <w:spacing w:after="113"/>
    </w:pPr>
    <w:rPr>
      <w:rFonts w:ascii="Calibri" w:hAnsi="Calibri"/>
      <w:color w:val="25416B"/>
      <w:sz w:val="96"/>
      <w:szCs w:val="96"/>
      <w:lang w:val="en-US"/>
    </w:rPr>
  </w:style>
  <w:style w:type="paragraph" w:customStyle="1" w:styleId="Body01">
    <w:name w:val="_Body01"/>
    <w:qFormat/>
    <w:rsid w:val="006F32E8"/>
    <w:pPr>
      <w:spacing w:after="113"/>
    </w:pPr>
    <w:rPr>
      <w:rFonts w:ascii="Calibri" w:hAnsi="Calibr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8195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75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75F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FD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54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4B8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7E5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e.id.com.au/wyndh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yndham.vic.gov.au/about-council/councillors-wards/know-your-councillor-war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ecast.id.com.au/wyndh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onomy.id.com.au/wyndh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s.gov.au/websitedbs/censushome.nsf/home/tablebuilde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vicfile2\templates2016$\CEO's%20Office\Factsheet%20No%20Imag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4F69E8-A2F1-46B1-B842-6F6373CD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No Images</Template>
  <TotalTime>65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Ckaos</Company>
  <LinksUpToDate>false</LinksUpToDate>
  <CharactersWithSpaces>4164</CharactersWithSpaces>
  <SharedDoc>false</SharedDoc>
  <HLinks>
    <vt:vector size="12" baseType="variant">
      <vt:variant>
        <vt:i4>7143438</vt:i4>
      </vt:variant>
      <vt:variant>
        <vt:i4>-1</vt:i4>
      </vt:variant>
      <vt:variant>
        <vt:i4>1031</vt:i4>
      </vt:variant>
      <vt:variant>
        <vt:i4>1</vt:i4>
      </vt:variant>
      <vt:variant>
        <vt:lpwstr>IMG</vt:lpwstr>
      </vt:variant>
      <vt:variant>
        <vt:lpwstr/>
      </vt:variant>
      <vt:variant>
        <vt:i4>7143438</vt:i4>
      </vt:variant>
      <vt:variant>
        <vt:i4>-1</vt:i4>
      </vt:variant>
      <vt:variant>
        <vt:i4>1029</vt:i4>
      </vt:variant>
      <vt:variant>
        <vt:i4>1</vt:i4>
      </vt:variant>
      <vt:variant>
        <vt:lpwstr>IMG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Green</dc:creator>
  <cp:lastModifiedBy>Robin Visser</cp:lastModifiedBy>
  <cp:revision>17</cp:revision>
  <dcterms:created xsi:type="dcterms:W3CDTF">2017-07-27T00:54:00Z</dcterms:created>
  <dcterms:modified xsi:type="dcterms:W3CDTF">2018-05-11T04:04:00Z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A1756488</vt:lpwstr>
  </property>
  <property fmtid="{D5CDD505-2E9C-101B-9397-08002B2CF9AE}" pid="4" name="Objective-Title">
    <vt:lpwstr>Suburb and Ward Profiles - Point Cook - May 2018</vt:lpwstr>
  </property>
  <property fmtid="{D5CDD505-2E9C-101B-9397-08002B2CF9AE}" pid="5" name="Objective-Comment">
    <vt:lpwstr/>
  </property>
  <property fmtid="{D5CDD505-2E9C-101B-9397-08002B2CF9AE}" pid="6" name="Objective-CreationStamp">
    <vt:filetime>2017-07-27T00:55:02Z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2018-05-11T04:04:04Z</vt:filetime>
  </property>
  <property fmtid="{D5CDD505-2E9C-101B-9397-08002B2CF9AE}" pid="10" name="Objective-ModificationStamp">
    <vt:filetime>2018-05-11T04:04:04Z</vt:filetime>
  </property>
  <property fmtid="{D5CDD505-2E9C-101B-9397-08002B2CF9AE}" pid="11" name="Objective-Owner">
    <vt:lpwstr>Stephanie Green</vt:lpwstr>
  </property>
  <property fmtid="{D5CDD505-2E9C-101B-9397-08002B2CF9AE}" pid="12" name="Objective-Path">
    <vt:lpwstr>Objective Global Folder:Corporate Management:Department - Strategy &amp; Stakeholder Engagement - Strategy &amp; Stakeholder Engagement:Research &amp; Materials:Publications:</vt:lpwstr>
  </property>
  <property fmtid="{D5CDD505-2E9C-101B-9397-08002B2CF9AE}" pid="13" name="Objective-Parent">
    <vt:lpwstr>Publications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qA276698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Internal</vt:lpwstr>
  </property>
  <property fmtid="{D5CDD505-2E9C-101B-9397-08002B2CF9AE}" pid="23" name="Objective-Auth or Addressee [system]">
    <vt:lpwstr>Staff Wyndham City</vt:lpwstr>
  </property>
  <property fmtid="{D5CDD505-2E9C-101B-9397-08002B2CF9AE}" pid="24" name="Objective-Auth or Addressee NAR No [system]">
    <vt:lpwstr>544420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</Properties>
</file>