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0AF69" w14:textId="77777777" w:rsidR="00912CA6" w:rsidRPr="00030E4F" w:rsidRDefault="00430DB0" w:rsidP="00912CA6">
      <w:pPr>
        <w:pStyle w:val="Header02"/>
        <w:rPr>
          <w:rFonts w:asciiTheme="majorHAnsi" w:hAnsiTheme="majorHAnsi"/>
        </w:rPr>
      </w:pPr>
      <w:bookmarkStart w:id="0" w:name="_GoBack"/>
      <w:bookmarkEnd w:id="0"/>
      <w:r w:rsidRPr="00030E4F">
        <w:rPr>
          <w:rFonts w:asciiTheme="majorHAnsi" w:hAnsiTheme="majorHAnsi"/>
          <w:lang w:val="en-AU"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7F41534" wp14:editId="69DE5B28">
                <wp:simplePos x="0" y="0"/>
                <wp:positionH relativeFrom="column">
                  <wp:posOffset>5715</wp:posOffset>
                </wp:positionH>
                <wp:positionV relativeFrom="page">
                  <wp:posOffset>1733550</wp:posOffset>
                </wp:positionV>
                <wp:extent cx="4892040" cy="1043940"/>
                <wp:effectExtent l="0" t="0" r="3810" b="3810"/>
                <wp:wrapThrough wrapText="bothSides">
                  <wp:wrapPolygon edited="0">
                    <wp:start x="0" y="0"/>
                    <wp:lineTo x="0" y="21285"/>
                    <wp:lineTo x="21533" y="21285"/>
                    <wp:lineTo x="21533" y="0"/>
                    <wp:lineTo x="0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2040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1A315A" w14:textId="77777777" w:rsidR="00FC0DE6" w:rsidRPr="00912CA6" w:rsidRDefault="00912CA6" w:rsidP="00066BC8">
                            <w:pPr>
                              <w:pStyle w:val="Header01"/>
                              <w:rPr>
                                <w:sz w:val="80"/>
                                <w:szCs w:val="80"/>
                              </w:rPr>
                            </w:pPr>
                            <w:r w:rsidRPr="00912CA6">
                              <w:rPr>
                                <w:sz w:val="80"/>
                                <w:szCs w:val="80"/>
                              </w:rPr>
                              <w:t>People and Community</w:t>
                            </w:r>
                            <w:r w:rsidR="00FC0DE6" w:rsidRPr="00912CA6">
                              <w:rPr>
                                <w:sz w:val="80"/>
                                <w:szCs w:val="80"/>
                              </w:rPr>
                              <w:t xml:space="preserve"> </w:t>
                            </w:r>
                          </w:p>
                          <w:p w14:paraId="41E404D0" w14:textId="77777777" w:rsidR="00FC0DE6" w:rsidRPr="00DF1843" w:rsidRDefault="00912CA6" w:rsidP="000D338F">
                            <w:pPr>
                              <w:pStyle w:val="IntroPara01"/>
                            </w:pPr>
                            <w:r>
                              <w:t>Strategic Indicators</w:t>
                            </w:r>
                            <w:r w:rsidR="00BA7AB7">
                              <w:t xml:space="preserve"> – Wyndham city plan 2017-21</w:t>
                            </w:r>
                          </w:p>
                          <w:p w14:paraId="63998577" w14:textId="77777777" w:rsidR="00FC0DE6" w:rsidRDefault="00FC0DE6" w:rsidP="00066BC8">
                            <w:pPr>
                              <w:pStyle w:val="Header0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F415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45pt;margin-top:136.5pt;width:385.2pt;height:82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" filled="f" stroked="f">
                <v:textbox inset="0,0,0,0">
                  <w:txbxContent>
                    <w:p w14:paraId="021A315A" w14:textId="77777777" w:rsidR="00FC0DE6" w:rsidRPr="00912CA6" w:rsidRDefault="00912CA6" w:rsidP="00066BC8">
                      <w:pPr>
                        <w:pStyle w:val="Header01"/>
                        <w:rPr>
                          <w:sz w:val="80"/>
                          <w:szCs w:val="80"/>
                        </w:rPr>
                      </w:pPr>
                      <w:r w:rsidRPr="00912CA6">
                        <w:rPr>
                          <w:sz w:val="80"/>
                          <w:szCs w:val="80"/>
                        </w:rPr>
                        <w:t>People and Community</w:t>
                      </w:r>
                      <w:r w:rsidR="00FC0DE6" w:rsidRPr="00912CA6">
                        <w:rPr>
                          <w:sz w:val="80"/>
                          <w:szCs w:val="80"/>
                        </w:rPr>
                        <w:t xml:space="preserve"> </w:t>
                      </w:r>
                    </w:p>
                    <w:p w14:paraId="41E404D0" w14:textId="77777777" w:rsidR="00FC0DE6" w:rsidRPr="00DF1843" w:rsidRDefault="00912CA6" w:rsidP="000D338F">
                      <w:pPr>
                        <w:pStyle w:val="IntroPara01"/>
                      </w:pPr>
                      <w:r>
                        <w:t>Strategic Indicators</w:t>
                      </w:r>
                      <w:r w:rsidR="00BA7AB7">
                        <w:t xml:space="preserve"> – Wyndham city plan 2017-21</w:t>
                      </w:r>
                    </w:p>
                    <w:p w14:paraId="63998577" w14:textId="77777777" w:rsidR="00FC0DE6" w:rsidRDefault="00FC0DE6" w:rsidP="00066BC8">
                      <w:pPr>
                        <w:pStyle w:val="Header01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E62FDC" w:rsidRPr="00030E4F">
        <w:rPr>
          <w:rFonts w:asciiTheme="majorHAnsi" w:hAnsiTheme="majorHAnsi"/>
        </w:rPr>
        <w:t xml:space="preserve"> </w:t>
      </w:r>
    </w:p>
    <w:p w14:paraId="5996369F" w14:textId="77777777" w:rsidR="00912CA6" w:rsidRPr="00030E4F" w:rsidRDefault="00912CA6" w:rsidP="00912CA6">
      <w:pPr>
        <w:rPr>
          <w:rFonts w:asciiTheme="majorHAnsi" w:hAnsiTheme="majorHAnsi"/>
        </w:rPr>
      </w:pPr>
    </w:p>
    <w:p w14:paraId="72BA45C1" w14:textId="77777777" w:rsidR="00912CA6" w:rsidRPr="00030E4F" w:rsidRDefault="00912CA6" w:rsidP="00912CA6">
      <w:pPr>
        <w:rPr>
          <w:rFonts w:asciiTheme="majorHAnsi" w:hAnsiTheme="majorHAnsi"/>
        </w:rPr>
      </w:pPr>
    </w:p>
    <w:p w14:paraId="6F12EEB4" w14:textId="77777777" w:rsidR="00912CA6" w:rsidRPr="00030E4F" w:rsidRDefault="00912CA6" w:rsidP="00912CA6">
      <w:pPr>
        <w:rPr>
          <w:rFonts w:asciiTheme="majorHAnsi" w:hAnsiTheme="majorHAnsi"/>
        </w:rPr>
      </w:pPr>
    </w:p>
    <w:p w14:paraId="445C5751" w14:textId="77777777" w:rsidR="00912CA6" w:rsidRPr="00030E4F" w:rsidRDefault="00912CA6" w:rsidP="00912CA6">
      <w:pPr>
        <w:rPr>
          <w:rFonts w:asciiTheme="majorHAnsi" w:hAnsiTheme="majorHAnsi"/>
        </w:rPr>
      </w:pPr>
    </w:p>
    <w:p w14:paraId="258E95DE" w14:textId="77777777" w:rsidR="00912CA6" w:rsidRPr="00030E4F" w:rsidRDefault="00912CA6" w:rsidP="00912CA6">
      <w:pPr>
        <w:rPr>
          <w:rFonts w:asciiTheme="majorHAnsi" w:hAnsiTheme="majorHAnsi"/>
        </w:rPr>
      </w:pPr>
    </w:p>
    <w:p w14:paraId="6A183E83" w14:textId="77777777" w:rsidR="005B752A" w:rsidRPr="005B752A" w:rsidRDefault="005B752A" w:rsidP="00282417">
      <w:pPr>
        <w:spacing w:after="120"/>
        <w:rPr>
          <w:rFonts w:asciiTheme="majorHAnsi" w:hAnsiTheme="majorHAnsi"/>
          <w:color w:val="17365D" w:themeColor="text2" w:themeShade="BF"/>
          <w:sz w:val="28"/>
          <w:szCs w:val="28"/>
        </w:rPr>
      </w:pPr>
      <w:r w:rsidRPr="005B752A">
        <w:rPr>
          <w:rFonts w:asciiTheme="majorHAnsi" w:hAnsiTheme="majorHAnsi"/>
          <w:color w:val="17365D" w:themeColor="text2" w:themeShade="BF"/>
          <w:sz w:val="28"/>
          <w:szCs w:val="28"/>
        </w:rPr>
        <w:t>Arts and Culture</w:t>
      </w:r>
    </w:p>
    <w:p w14:paraId="3F2311C3" w14:textId="77777777" w:rsidR="00912CA6" w:rsidRPr="001C5EA2" w:rsidRDefault="00912CA6" w:rsidP="00912CA6">
      <w:pPr>
        <w:spacing w:before="60" w:afterLines="60" w:after="144" w:line="240" w:lineRule="auto"/>
        <w:rPr>
          <w:rFonts w:asciiTheme="majorHAnsi" w:hAnsiTheme="majorHAnsi"/>
          <w:b/>
        </w:rPr>
      </w:pPr>
      <w:r w:rsidRPr="001C5EA2">
        <w:rPr>
          <w:rFonts w:asciiTheme="majorHAnsi" w:hAnsiTheme="majorHAnsi"/>
          <w:b/>
        </w:rPr>
        <w:t xml:space="preserve">Community </w:t>
      </w:r>
      <w:r w:rsidR="001C5EA2" w:rsidRPr="001C5EA2">
        <w:rPr>
          <w:rFonts w:asciiTheme="majorHAnsi" w:hAnsiTheme="majorHAnsi"/>
          <w:b/>
        </w:rPr>
        <w:t>S</w:t>
      </w:r>
      <w:r w:rsidRPr="001C5EA2">
        <w:rPr>
          <w:rFonts w:asciiTheme="majorHAnsi" w:hAnsiTheme="majorHAnsi"/>
          <w:b/>
        </w:rPr>
        <w:t xml:space="preserve">atisfaction </w:t>
      </w:r>
      <w:r w:rsidR="00A67EE5" w:rsidRPr="001C5EA2">
        <w:rPr>
          <w:rFonts w:asciiTheme="majorHAnsi" w:hAnsiTheme="majorHAnsi"/>
          <w:b/>
        </w:rPr>
        <w:t>with</w:t>
      </w:r>
      <w:r w:rsidRPr="001C5EA2">
        <w:rPr>
          <w:rFonts w:asciiTheme="majorHAnsi" w:hAnsiTheme="majorHAnsi"/>
          <w:b/>
        </w:rPr>
        <w:t xml:space="preserve"> </w:t>
      </w:r>
      <w:r w:rsidR="001C5EA2" w:rsidRPr="001C5EA2">
        <w:rPr>
          <w:rFonts w:asciiTheme="majorHAnsi" w:hAnsiTheme="majorHAnsi"/>
          <w:b/>
        </w:rPr>
        <w:t>A</w:t>
      </w:r>
      <w:r w:rsidRPr="001C5EA2">
        <w:rPr>
          <w:rFonts w:asciiTheme="majorHAnsi" w:hAnsiTheme="majorHAnsi"/>
          <w:b/>
        </w:rPr>
        <w:t xml:space="preserve">rts and </w:t>
      </w:r>
      <w:r w:rsidR="001C5EA2" w:rsidRPr="001C5EA2">
        <w:rPr>
          <w:rFonts w:asciiTheme="majorHAnsi" w:hAnsiTheme="majorHAnsi"/>
          <w:b/>
        </w:rPr>
        <w:t>C</w:t>
      </w:r>
      <w:r w:rsidRPr="001C5EA2">
        <w:rPr>
          <w:rFonts w:asciiTheme="majorHAnsi" w:hAnsiTheme="majorHAnsi"/>
          <w:b/>
        </w:rPr>
        <w:t xml:space="preserve">ultural </w:t>
      </w:r>
      <w:r w:rsidR="001C5EA2" w:rsidRPr="001C5EA2">
        <w:rPr>
          <w:rFonts w:asciiTheme="majorHAnsi" w:hAnsiTheme="majorHAnsi"/>
          <w:b/>
        </w:rPr>
        <w:t>S</w:t>
      </w:r>
      <w:r w:rsidRPr="001C5EA2">
        <w:rPr>
          <w:rFonts w:asciiTheme="majorHAnsi" w:hAnsiTheme="majorHAnsi"/>
          <w:b/>
        </w:rPr>
        <w:t>ervices, 2013 to 201</w:t>
      </w:r>
      <w:r w:rsidR="007D5C2B">
        <w:rPr>
          <w:rFonts w:asciiTheme="majorHAnsi" w:hAnsiTheme="majorHAnsi"/>
          <w:b/>
        </w:rPr>
        <w:t>7</w:t>
      </w:r>
      <w:r w:rsidR="00B41072" w:rsidRPr="001C5EA2">
        <w:rPr>
          <w:rStyle w:val="FootnoteReference"/>
          <w:rFonts w:asciiTheme="majorHAnsi" w:hAnsiTheme="majorHAnsi"/>
          <w:b/>
        </w:rPr>
        <w:footnoteReference w:id="1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6"/>
        <w:gridCol w:w="3161"/>
      </w:tblGrid>
      <w:tr w:rsidR="00912CA6" w:rsidRPr="00030E4F" w14:paraId="1B3321F2" w14:textId="77777777" w:rsidTr="00E3694A">
        <w:tc>
          <w:tcPr>
            <w:tcW w:w="5736" w:type="dxa"/>
          </w:tcPr>
          <w:p w14:paraId="3F6D4E71" w14:textId="77777777" w:rsidR="00912CA6" w:rsidRPr="001C5EA2" w:rsidRDefault="00E3694A" w:rsidP="00912CA6">
            <w:pPr>
              <w:spacing w:before="60" w:afterLines="60" w:after="144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25C03B2" wp14:editId="6F06884C">
                  <wp:extent cx="4210050" cy="2232838"/>
                  <wp:effectExtent l="0" t="0" r="0" b="0"/>
                  <wp:docPr id="1" name="Chart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83F0A81-45D1-4107-86F7-89BEEC067D2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3161" w:type="dxa"/>
          </w:tcPr>
          <w:p w14:paraId="5F670E67" w14:textId="77777777" w:rsidR="0088578E" w:rsidRPr="001C5EA2" w:rsidRDefault="0088578E" w:rsidP="00912CA6">
            <w:pPr>
              <w:spacing w:before="60" w:afterLines="60" w:after="144" w:line="240" w:lineRule="auto"/>
              <w:rPr>
                <w:rFonts w:asciiTheme="majorHAnsi" w:hAnsiTheme="majorHAnsi"/>
              </w:rPr>
            </w:pPr>
          </w:p>
          <w:p w14:paraId="0FA07EF4" w14:textId="77777777" w:rsidR="00912CA6" w:rsidRPr="001C5EA2" w:rsidRDefault="00B41072" w:rsidP="00912CA6">
            <w:pPr>
              <w:spacing w:before="60" w:afterLines="60" w:after="144" w:line="240" w:lineRule="auto"/>
              <w:rPr>
                <w:rFonts w:asciiTheme="majorHAnsi" w:hAnsiTheme="majorHAnsi"/>
              </w:rPr>
            </w:pPr>
            <w:r w:rsidRPr="001C5EA2">
              <w:rPr>
                <w:rFonts w:asciiTheme="majorHAnsi" w:hAnsiTheme="majorHAnsi"/>
              </w:rPr>
              <w:t xml:space="preserve">Community satisfaction with arts and cultural services increased gradually between 2013 and 2015. In 2016, there was a </w:t>
            </w:r>
            <w:r w:rsidRPr="001C5EA2">
              <w:rPr>
                <w:rFonts w:asciiTheme="majorHAnsi" w:hAnsiTheme="majorHAnsi"/>
                <w:b/>
              </w:rPr>
              <w:t>slight decrease in overall satisfaction</w:t>
            </w:r>
            <w:r w:rsidRPr="001C5EA2">
              <w:rPr>
                <w:rFonts w:asciiTheme="majorHAnsi" w:hAnsiTheme="majorHAnsi"/>
              </w:rPr>
              <w:t xml:space="preserve"> rating, from 7.86 out of 10 to 7.45</w:t>
            </w:r>
            <w:r w:rsidR="0088578E" w:rsidRPr="001C5EA2">
              <w:rPr>
                <w:rFonts w:asciiTheme="majorHAnsi" w:hAnsiTheme="majorHAnsi"/>
              </w:rPr>
              <w:t>.</w:t>
            </w:r>
            <w:r w:rsidR="00E3694A">
              <w:rPr>
                <w:rFonts w:asciiTheme="majorHAnsi" w:hAnsiTheme="majorHAnsi"/>
              </w:rPr>
              <w:t xml:space="preserve"> In 2017, average satisfaction had increased to above 2014 levels.</w:t>
            </w:r>
          </w:p>
        </w:tc>
      </w:tr>
    </w:tbl>
    <w:p w14:paraId="13AA0973" w14:textId="77777777" w:rsidR="00B41072" w:rsidRPr="006A62D9" w:rsidRDefault="00B41072" w:rsidP="00282417">
      <w:pPr>
        <w:pStyle w:val="Header03"/>
        <w:spacing w:after="120"/>
        <w:rPr>
          <w:rFonts w:asciiTheme="majorHAnsi" w:hAnsiTheme="majorHAnsi"/>
          <w:color w:val="1F497D" w:themeColor="text2"/>
          <w:sz w:val="28"/>
          <w:szCs w:val="28"/>
        </w:rPr>
      </w:pPr>
      <w:r w:rsidRPr="006A62D9">
        <w:rPr>
          <w:rFonts w:asciiTheme="majorHAnsi" w:hAnsiTheme="majorHAnsi"/>
          <w:color w:val="1F497D" w:themeColor="text2"/>
          <w:sz w:val="28"/>
          <w:szCs w:val="28"/>
        </w:rPr>
        <w:t xml:space="preserve">Physical Wellbeing </w:t>
      </w: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820"/>
      </w:tblGrid>
      <w:tr w:rsidR="00B41072" w:rsidRPr="008E7FB6" w14:paraId="3C9D2AAE" w14:textId="77777777" w:rsidTr="001C5EA2">
        <w:trPr>
          <w:trHeight w:val="86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92DA8" w14:textId="77777777" w:rsidR="00B41072" w:rsidRPr="001C5EA2" w:rsidRDefault="005B752A" w:rsidP="001C5EA2">
            <w:pPr>
              <w:jc w:val="center"/>
              <w:rPr>
                <w:rFonts w:asciiTheme="majorHAnsi" w:hAnsiTheme="majorHAnsi"/>
                <w:b/>
              </w:rPr>
            </w:pPr>
            <w:r w:rsidRPr="001C5EA2">
              <w:rPr>
                <w:rFonts w:asciiTheme="majorHAnsi" w:hAnsiTheme="majorHAnsi"/>
                <w:b/>
              </w:rPr>
              <w:t xml:space="preserve">Proportion (%) </w:t>
            </w:r>
            <w:r w:rsidR="001C5EA2" w:rsidRPr="001C5EA2">
              <w:rPr>
                <w:rFonts w:asciiTheme="majorHAnsi" w:hAnsiTheme="majorHAnsi"/>
                <w:b/>
              </w:rPr>
              <w:t>A</w:t>
            </w:r>
            <w:r w:rsidRPr="001C5EA2">
              <w:rPr>
                <w:rFonts w:asciiTheme="majorHAnsi" w:hAnsiTheme="majorHAnsi"/>
                <w:b/>
              </w:rPr>
              <w:t xml:space="preserve">dult </w:t>
            </w:r>
            <w:r w:rsidR="001C5EA2" w:rsidRPr="001C5EA2">
              <w:rPr>
                <w:rFonts w:asciiTheme="majorHAnsi" w:hAnsiTheme="majorHAnsi"/>
                <w:b/>
              </w:rPr>
              <w:t>P</w:t>
            </w:r>
            <w:r w:rsidRPr="001C5EA2">
              <w:rPr>
                <w:rFonts w:asciiTheme="majorHAnsi" w:hAnsiTheme="majorHAnsi"/>
                <w:b/>
              </w:rPr>
              <w:t xml:space="preserve">opulation </w:t>
            </w:r>
            <w:r w:rsidR="001C5EA2" w:rsidRPr="001C5EA2">
              <w:rPr>
                <w:rFonts w:asciiTheme="majorHAnsi" w:hAnsiTheme="majorHAnsi"/>
                <w:b/>
              </w:rPr>
              <w:t>T</w:t>
            </w:r>
            <w:r w:rsidRPr="001C5EA2">
              <w:rPr>
                <w:rFonts w:asciiTheme="majorHAnsi" w:hAnsiTheme="majorHAnsi"/>
                <w:b/>
              </w:rPr>
              <w:t xml:space="preserve">hat is </w:t>
            </w:r>
            <w:r w:rsidR="001C5EA2" w:rsidRPr="001C5EA2">
              <w:rPr>
                <w:rFonts w:asciiTheme="majorHAnsi" w:hAnsiTheme="majorHAnsi"/>
                <w:b/>
              </w:rPr>
              <w:t>O</w:t>
            </w:r>
            <w:r w:rsidRPr="001C5EA2">
              <w:rPr>
                <w:rFonts w:asciiTheme="majorHAnsi" w:hAnsiTheme="majorHAnsi"/>
                <w:b/>
              </w:rPr>
              <w:t>bese</w:t>
            </w:r>
            <w:r w:rsidR="00FC18EB" w:rsidRPr="001C5EA2">
              <w:rPr>
                <w:rFonts w:asciiTheme="majorHAnsi" w:hAnsiTheme="majorHAnsi"/>
                <w:b/>
              </w:rPr>
              <w:t>, 2014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97EAB" w14:textId="77777777" w:rsidR="00B41072" w:rsidRPr="001C5EA2" w:rsidRDefault="005B752A" w:rsidP="001C5EA2">
            <w:pPr>
              <w:jc w:val="center"/>
              <w:rPr>
                <w:rFonts w:asciiTheme="majorHAnsi" w:hAnsiTheme="majorHAnsi"/>
                <w:b/>
              </w:rPr>
            </w:pPr>
            <w:r w:rsidRPr="001C5EA2">
              <w:rPr>
                <w:rFonts w:asciiTheme="majorHAnsi" w:hAnsiTheme="majorHAnsi"/>
                <w:b/>
              </w:rPr>
              <w:t xml:space="preserve">Average </w:t>
            </w:r>
            <w:r w:rsidR="001C5EA2">
              <w:rPr>
                <w:rFonts w:asciiTheme="majorHAnsi" w:hAnsiTheme="majorHAnsi"/>
                <w:b/>
              </w:rPr>
              <w:t>S</w:t>
            </w:r>
            <w:r w:rsidRPr="001C5EA2">
              <w:rPr>
                <w:rFonts w:asciiTheme="majorHAnsi" w:hAnsiTheme="majorHAnsi"/>
                <w:b/>
              </w:rPr>
              <w:t xml:space="preserve">erves per day of </w:t>
            </w:r>
            <w:r w:rsidR="001C5EA2">
              <w:rPr>
                <w:rFonts w:asciiTheme="majorHAnsi" w:hAnsiTheme="majorHAnsi"/>
                <w:b/>
              </w:rPr>
              <w:t>V</w:t>
            </w:r>
            <w:r w:rsidRPr="001C5EA2">
              <w:rPr>
                <w:rFonts w:asciiTheme="majorHAnsi" w:hAnsiTheme="majorHAnsi"/>
                <w:b/>
              </w:rPr>
              <w:t>egetables</w:t>
            </w:r>
            <w:r w:rsidR="00FC18EB" w:rsidRPr="001C5EA2">
              <w:rPr>
                <w:rFonts w:asciiTheme="majorHAnsi" w:hAnsiTheme="majorHAnsi"/>
                <w:b/>
              </w:rPr>
              <w:t>, 2014</w:t>
            </w:r>
            <w:r w:rsidR="00F3725B" w:rsidRPr="001C5EA2">
              <w:rPr>
                <w:rStyle w:val="FootnoteReference"/>
                <w:rFonts w:asciiTheme="majorHAnsi" w:hAnsiTheme="majorHAnsi"/>
                <w:b/>
              </w:rPr>
              <w:footnoteReference w:id="2"/>
            </w:r>
          </w:p>
        </w:tc>
      </w:tr>
      <w:tr w:rsidR="00B41072" w:rsidRPr="008E7FB6" w14:paraId="7650B1E4" w14:textId="77777777" w:rsidTr="001C5EA2">
        <w:trPr>
          <w:trHeight w:val="176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B36C4" w14:textId="77777777" w:rsidR="00B41072" w:rsidRPr="001C5EA2" w:rsidRDefault="00B41072" w:rsidP="001C5EA2">
            <w:pPr>
              <w:jc w:val="center"/>
              <w:rPr>
                <w:rFonts w:asciiTheme="majorHAnsi" w:hAnsiTheme="majorHAnsi"/>
                <w:b/>
              </w:rPr>
            </w:pPr>
            <w:r w:rsidRPr="001C5EA2">
              <w:rPr>
                <w:rFonts w:asciiTheme="majorHAnsi" w:hAnsiTheme="majorHAnsi"/>
                <w:b/>
              </w:rPr>
              <w:t xml:space="preserve">A quarter of Wyndham adults </w:t>
            </w:r>
            <w:r w:rsidRPr="001C5EA2">
              <w:rPr>
                <w:rFonts w:asciiTheme="majorHAnsi" w:hAnsiTheme="majorHAnsi"/>
              </w:rPr>
              <w:t>are obese (25%), compared to 19% of adults Victoria wide</w:t>
            </w:r>
            <w:r w:rsidR="001C1D85" w:rsidRPr="001C5EA2">
              <w:rPr>
                <w:rFonts w:asciiTheme="majorHAnsi" w:hAnsiTheme="majorHAnsi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EA13" w14:textId="77777777" w:rsidR="00B41072" w:rsidRPr="001C5EA2" w:rsidRDefault="00B41072" w:rsidP="001C5EA2">
            <w:pPr>
              <w:jc w:val="center"/>
              <w:rPr>
                <w:rFonts w:asciiTheme="majorHAnsi" w:hAnsiTheme="majorHAnsi"/>
              </w:rPr>
            </w:pPr>
            <w:r w:rsidRPr="001C5EA2">
              <w:rPr>
                <w:rFonts w:asciiTheme="majorHAnsi" w:hAnsiTheme="majorHAnsi"/>
              </w:rPr>
              <w:t xml:space="preserve">Wyndham adults eat on average </w:t>
            </w:r>
            <w:r w:rsidRPr="001C5EA2">
              <w:rPr>
                <w:rFonts w:asciiTheme="majorHAnsi" w:hAnsiTheme="majorHAnsi"/>
                <w:b/>
              </w:rPr>
              <w:t>2.1 vegetables per day,</w:t>
            </w:r>
            <w:r w:rsidRPr="001C5EA2">
              <w:rPr>
                <w:rFonts w:asciiTheme="majorHAnsi" w:hAnsiTheme="majorHAnsi"/>
              </w:rPr>
              <w:t xml:space="preserve"> which is only </w:t>
            </w:r>
            <w:r w:rsidRPr="001C5EA2">
              <w:rPr>
                <w:rFonts w:asciiTheme="majorHAnsi" w:hAnsiTheme="majorHAnsi"/>
                <w:b/>
              </w:rPr>
              <w:t>slightly less than the average across Victoria (2.2)</w:t>
            </w:r>
            <w:r w:rsidR="001C1D85" w:rsidRPr="001C5EA2">
              <w:rPr>
                <w:rFonts w:asciiTheme="majorHAnsi" w:hAnsiTheme="majorHAnsi"/>
                <w:b/>
              </w:rPr>
              <w:t>,</w:t>
            </w:r>
            <w:r w:rsidR="001C1D85" w:rsidRPr="001C5EA2">
              <w:rPr>
                <w:rFonts w:asciiTheme="majorHAnsi" w:hAnsiTheme="majorHAnsi"/>
              </w:rPr>
              <w:t xml:space="preserve"> and less than the recommended amount of 5 per day.</w:t>
            </w:r>
          </w:p>
        </w:tc>
      </w:tr>
    </w:tbl>
    <w:p w14:paraId="10C5739D" w14:textId="77777777" w:rsidR="00282417" w:rsidRDefault="00282417" w:rsidP="00912CA6">
      <w:pPr>
        <w:rPr>
          <w:rFonts w:asciiTheme="majorHAnsi" w:hAnsiTheme="majorHAnsi"/>
          <w:b/>
          <w:sz w:val="24"/>
          <w:szCs w:val="24"/>
        </w:rPr>
      </w:pPr>
    </w:p>
    <w:p w14:paraId="01F10436" w14:textId="77777777" w:rsidR="00617441" w:rsidRDefault="00617441" w:rsidP="00282417">
      <w:pPr>
        <w:spacing w:after="120"/>
        <w:rPr>
          <w:rFonts w:asciiTheme="majorHAnsi" w:hAnsiTheme="majorHAnsi"/>
          <w:b/>
          <w:sz w:val="24"/>
          <w:szCs w:val="24"/>
        </w:rPr>
      </w:pPr>
    </w:p>
    <w:p w14:paraId="163B4B9C" w14:textId="77777777" w:rsidR="00617441" w:rsidRDefault="00617441" w:rsidP="00282417">
      <w:pPr>
        <w:spacing w:after="120"/>
        <w:rPr>
          <w:rFonts w:asciiTheme="majorHAnsi" w:hAnsiTheme="majorHAnsi"/>
          <w:b/>
          <w:sz w:val="24"/>
          <w:szCs w:val="24"/>
        </w:rPr>
      </w:pPr>
    </w:p>
    <w:p w14:paraId="7BD057CB" w14:textId="77777777" w:rsidR="00FB5405" w:rsidRDefault="00FB5405" w:rsidP="00282417">
      <w:pPr>
        <w:spacing w:after="120"/>
        <w:rPr>
          <w:rFonts w:asciiTheme="majorHAnsi" w:hAnsiTheme="majorHAnsi"/>
          <w:b/>
          <w:sz w:val="24"/>
          <w:szCs w:val="24"/>
        </w:rPr>
      </w:pPr>
    </w:p>
    <w:p w14:paraId="02C4F977" w14:textId="77777777" w:rsidR="00617441" w:rsidRDefault="00617441" w:rsidP="00282417">
      <w:pPr>
        <w:spacing w:after="120"/>
        <w:rPr>
          <w:rFonts w:asciiTheme="majorHAnsi" w:hAnsiTheme="majorHAnsi"/>
          <w:b/>
          <w:sz w:val="24"/>
          <w:szCs w:val="24"/>
        </w:rPr>
      </w:pPr>
    </w:p>
    <w:p w14:paraId="59A3014D" w14:textId="77777777" w:rsidR="00BB0AEE" w:rsidRPr="000738E6" w:rsidRDefault="001C1D85" w:rsidP="00282417">
      <w:pPr>
        <w:spacing w:after="120"/>
        <w:rPr>
          <w:rFonts w:asciiTheme="majorHAnsi" w:hAnsiTheme="majorHAnsi"/>
          <w:b/>
        </w:rPr>
      </w:pPr>
      <w:r w:rsidRPr="000738E6">
        <w:rPr>
          <w:rFonts w:asciiTheme="majorHAnsi" w:hAnsiTheme="majorHAnsi"/>
          <w:b/>
        </w:rPr>
        <w:lastRenderedPageBreak/>
        <w:t xml:space="preserve">Percentage of </w:t>
      </w:r>
      <w:r w:rsidR="000738E6">
        <w:rPr>
          <w:rFonts w:asciiTheme="majorHAnsi" w:hAnsiTheme="majorHAnsi"/>
          <w:b/>
        </w:rPr>
        <w:t>A</w:t>
      </w:r>
      <w:r w:rsidRPr="000738E6">
        <w:rPr>
          <w:rFonts w:asciiTheme="majorHAnsi" w:hAnsiTheme="majorHAnsi"/>
          <w:b/>
        </w:rPr>
        <w:t xml:space="preserve">dults that </w:t>
      </w:r>
      <w:r w:rsidR="000738E6">
        <w:rPr>
          <w:rFonts w:asciiTheme="majorHAnsi" w:hAnsiTheme="majorHAnsi"/>
          <w:b/>
        </w:rPr>
        <w:t>E</w:t>
      </w:r>
      <w:r w:rsidRPr="000738E6">
        <w:rPr>
          <w:rFonts w:asciiTheme="majorHAnsi" w:hAnsiTheme="majorHAnsi"/>
          <w:b/>
        </w:rPr>
        <w:t xml:space="preserve">ngage in </w:t>
      </w:r>
      <w:r w:rsidR="000738E6">
        <w:rPr>
          <w:rFonts w:asciiTheme="majorHAnsi" w:hAnsiTheme="majorHAnsi"/>
          <w:b/>
        </w:rPr>
        <w:t>S</w:t>
      </w:r>
      <w:r w:rsidRPr="000738E6">
        <w:rPr>
          <w:rFonts w:asciiTheme="majorHAnsi" w:hAnsiTheme="majorHAnsi"/>
          <w:b/>
        </w:rPr>
        <w:t xml:space="preserve">ufficient </w:t>
      </w:r>
      <w:r w:rsidR="000738E6">
        <w:rPr>
          <w:rFonts w:asciiTheme="majorHAnsi" w:hAnsiTheme="majorHAnsi"/>
          <w:b/>
        </w:rPr>
        <w:t>A</w:t>
      </w:r>
      <w:r w:rsidRPr="000738E6">
        <w:rPr>
          <w:rFonts w:asciiTheme="majorHAnsi" w:hAnsiTheme="majorHAnsi"/>
          <w:b/>
        </w:rPr>
        <w:t xml:space="preserve">mount of </w:t>
      </w:r>
      <w:r w:rsidR="000738E6">
        <w:rPr>
          <w:rFonts w:asciiTheme="majorHAnsi" w:hAnsiTheme="majorHAnsi"/>
          <w:b/>
        </w:rPr>
        <w:t>P</w:t>
      </w:r>
      <w:r w:rsidRPr="000738E6">
        <w:rPr>
          <w:rFonts w:asciiTheme="majorHAnsi" w:hAnsiTheme="majorHAnsi"/>
          <w:b/>
        </w:rPr>
        <w:t xml:space="preserve">hysical </w:t>
      </w:r>
      <w:r w:rsidR="000738E6">
        <w:rPr>
          <w:rFonts w:asciiTheme="majorHAnsi" w:hAnsiTheme="majorHAnsi"/>
          <w:b/>
        </w:rPr>
        <w:t>A</w:t>
      </w:r>
      <w:r w:rsidRPr="000738E6">
        <w:rPr>
          <w:rFonts w:asciiTheme="majorHAnsi" w:hAnsiTheme="majorHAnsi"/>
          <w:b/>
        </w:rPr>
        <w:t xml:space="preserve">ctivity </w:t>
      </w:r>
      <w:r w:rsidR="000738E6">
        <w:rPr>
          <w:rFonts w:asciiTheme="majorHAnsi" w:hAnsiTheme="majorHAnsi"/>
          <w:b/>
        </w:rPr>
        <w:t>E</w:t>
      </w:r>
      <w:r w:rsidRPr="000738E6">
        <w:rPr>
          <w:rFonts w:asciiTheme="majorHAnsi" w:hAnsiTheme="majorHAnsi"/>
          <w:b/>
        </w:rPr>
        <w:t xml:space="preserve">ach </w:t>
      </w:r>
      <w:r w:rsidR="000738E6">
        <w:rPr>
          <w:rFonts w:asciiTheme="majorHAnsi" w:hAnsiTheme="majorHAnsi"/>
          <w:b/>
        </w:rPr>
        <w:t>W</w:t>
      </w:r>
      <w:r w:rsidRPr="000738E6">
        <w:rPr>
          <w:rFonts w:asciiTheme="majorHAnsi" w:hAnsiTheme="majorHAnsi"/>
          <w:b/>
        </w:rPr>
        <w:t>eek</w:t>
      </w:r>
      <w:r w:rsidR="00FC18EB" w:rsidRPr="000738E6">
        <w:rPr>
          <w:rFonts w:asciiTheme="majorHAnsi" w:hAnsiTheme="majorHAnsi"/>
          <w:b/>
        </w:rPr>
        <w:t>, 2014</w:t>
      </w:r>
      <w:r w:rsidRPr="000738E6">
        <w:rPr>
          <w:rStyle w:val="FootnoteReference"/>
          <w:rFonts w:asciiTheme="majorHAnsi" w:hAnsiTheme="majorHAnsi"/>
          <w:b/>
        </w:rPr>
        <w:footnoteReference w:id="3"/>
      </w:r>
      <w:r w:rsidRPr="000738E6">
        <w:rPr>
          <w:rFonts w:asciiTheme="majorHAnsi" w:hAnsiTheme="majorHAnsi"/>
          <w:b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6"/>
        <w:gridCol w:w="3943"/>
      </w:tblGrid>
      <w:tr w:rsidR="00B41072" w:rsidRPr="000738E6" w14:paraId="6832A09C" w14:textId="77777777" w:rsidTr="0088578E">
        <w:tc>
          <w:tcPr>
            <w:tcW w:w="5946" w:type="dxa"/>
          </w:tcPr>
          <w:p w14:paraId="5D75D438" w14:textId="77777777" w:rsidR="00B41072" w:rsidRPr="000738E6" w:rsidRDefault="00BB0AEE" w:rsidP="00912CA6">
            <w:pPr>
              <w:rPr>
                <w:rFonts w:asciiTheme="majorHAnsi" w:hAnsiTheme="majorHAnsi"/>
                <w:b/>
              </w:rPr>
            </w:pPr>
            <w:r w:rsidRPr="000738E6">
              <w:rPr>
                <w:rFonts w:asciiTheme="majorHAnsi" w:hAnsiTheme="majorHAnsi"/>
                <w:b/>
                <w:noProof/>
                <w:lang w:eastAsia="en-AU"/>
              </w:rPr>
              <w:drawing>
                <wp:inline distT="0" distB="0" distL="0" distR="0" wp14:anchorId="68A7B422" wp14:editId="04B6652E">
                  <wp:extent cx="3621974" cy="2351315"/>
                  <wp:effectExtent l="0" t="0" r="0" b="0"/>
                  <wp:docPr id="3" name="Chart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3943" w:type="dxa"/>
          </w:tcPr>
          <w:p w14:paraId="0C5B52BF" w14:textId="77777777" w:rsidR="006A524B" w:rsidRPr="000738E6" w:rsidRDefault="006A524B" w:rsidP="006A524B">
            <w:pPr>
              <w:rPr>
                <w:rFonts w:asciiTheme="majorHAnsi" w:hAnsiTheme="majorHAnsi"/>
                <w:b/>
              </w:rPr>
            </w:pPr>
            <w:r w:rsidRPr="000738E6">
              <w:rPr>
                <w:rFonts w:asciiTheme="majorHAnsi" w:hAnsiTheme="majorHAnsi"/>
              </w:rPr>
              <w:t xml:space="preserve">The proportion of adults engaging in sufficient amounts of physical activity each week </w:t>
            </w:r>
            <w:r w:rsidR="006D04D4" w:rsidRPr="000738E6">
              <w:rPr>
                <w:rFonts w:asciiTheme="majorHAnsi" w:hAnsiTheme="majorHAnsi"/>
              </w:rPr>
              <w:t>was lower in</w:t>
            </w:r>
            <w:r w:rsidRPr="000738E6">
              <w:rPr>
                <w:rFonts w:asciiTheme="majorHAnsi" w:hAnsiTheme="majorHAnsi"/>
              </w:rPr>
              <w:t xml:space="preserve"> Wyndham,</w:t>
            </w:r>
            <w:r w:rsidR="006D04D4" w:rsidRPr="000738E6">
              <w:rPr>
                <w:rFonts w:asciiTheme="majorHAnsi" w:hAnsiTheme="majorHAnsi"/>
              </w:rPr>
              <w:t xml:space="preserve"> than</w:t>
            </w:r>
            <w:r w:rsidRPr="000738E6">
              <w:rPr>
                <w:rFonts w:asciiTheme="majorHAnsi" w:hAnsiTheme="majorHAnsi"/>
              </w:rPr>
              <w:t xml:space="preserve"> the North West Metro area and Victoria</w:t>
            </w:r>
            <w:r w:rsidR="006D04D4" w:rsidRPr="000738E6">
              <w:rPr>
                <w:rFonts w:asciiTheme="majorHAnsi" w:hAnsiTheme="majorHAnsi"/>
              </w:rPr>
              <w:t>.</w:t>
            </w:r>
          </w:p>
          <w:p w14:paraId="26821A2B" w14:textId="77777777" w:rsidR="00BB0AEE" w:rsidRPr="000738E6" w:rsidRDefault="00BB0AEE" w:rsidP="006D04D4">
            <w:pPr>
              <w:rPr>
                <w:rFonts w:asciiTheme="majorHAnsi" w:hAnsiTheme="majorHAnsi"/>
              </w:rPr>
            </w:pPr>
            <w:r w:rsidRPr="000738E6">
              <w:rPr>
                <w:rFonts w:asciiTheme="majorHAnsi" w:hAnsiTheme="majorHAnsi"/>
              </w:rPr>
              <w:t xml:space="preserve">In </w:t>
            </w:r>
            <w:r w:rsidR="006D04D4" w:rsidRPr="000738E6">
              <w:rPr>
                <w:rFonts w:asciiTheme="majorHAnsi" w:hAnsiTheme="majorHAnsi"/>
              </w:rPr>
              <w:t>2014</w:t>
            </w:r>
            <w:r w:rsidRPr="000738E6">
              <w:rPr>
                <w:rFonts w:asciiTheme="majorHAnsi" w:hAnsiTheme="majorHAnsi"/>
                <w:b/>
              </w:rPr>
              <w:t xml:space="preserve">, </w:t>
            </w:r>
            <w:r w:rsidR="006D04D4" w:rsidRPr="000738E6">
              <w:rPr>
                <w:rFonts w:asciiTheme="majorHAnsi" w:hAnsiTheme="majorHAnsi"/>
                <w:b/>
              </w:rPr>
              <w:t>35</w:t>
            </w:r>
            <w:r w:rsidRPr="000738E6">
              <w:rPr>
                <w:rFonts w:asciiTheme="majorHAnsi" w:hAnsiTheme="majorHAnsi"/>
                <w:b/>
              </w:rPr>
              <w:t xml:space="preserve">% of </w:t>
            </w:r>
            <w:r w:rsidR="006A524B" w:rsidRPr="000738E6">
              <w:rPr>
                <w:rFonts w:asciiTheme="majorHAnsi" w:hAnsiTheme="majorHAnsi"/>
                <w:b/>
              </w:rPr>
              <w:t xml:space="preserve">Wyndham </w:t>
            </w:r>
            <w:r w:rsidRPr="000738E6">
              <w:rPr>
                <w:rFonts w:asciiTheme="majorHAnsi" w:hAnsiTheme="majorHAnsi"/>
                <w:b/>
              </w:rPr>
              <w:t xml:space="preserve">adults engaged in </w:t>
            </w:r>
            <w:r w:rsidR="006A524B" w:rsidRPr="000738E6">
              <w:rPr>
                <w:rFonts w:asciiTheme="majorHAnsi" w:hAnsiTheme="majorHAnsi"/>
                <w:b/>
              </w:rPr>
              <w:t>the recommended amount of</w:t>
            </w:r>
            <w:r w:rsidRPr="000738E6">
              <w:rPr>
                <w:rFonts w:asciiTheme="majorHAnsi" w:hAnsiTheme="majorHAnsi"/>
                <w:b/>
              </w:rPr>
              <w:t xml:space="preserve"> </w:t>
            </w:r>
            <w:r w:rsidR="006D04D4" w:rsidRPr="000738E6">
              <w:rPr>
                <w:rFonts w:asciiTheme="majorHAnsi" w:hAnsiTheme="majorHAnsi"/>
                <w:b/>
              </w:rPr>
              <w:t xml:space="preserve">physical </w:t>
            </w:r>
            <w:r w:rsidR="006A62D9" w:rsidRPr="000738E6">
              <w:rPr>
                <w:rFonts w:asciiTheme="majorHAnsi" w:hAnsiTheme="majorHAnsi"/>
                <w:b/>
              </w:rPr>
              <w:t>activity</w:t>
            </w:r>
            <w:r w:rsidR="006A524B" w:rsidRPr="000738E6">
              <w:rPr>
                <w:rFonts w:asciiTheme="majorHAnsi" w:hAnsiTheme="majorHAnsi"/>
                <w:b/>
              </w:rPr>
              <w:t xml:space="preserve"> each week,</w:t>
            </w:r>
            <w:r w:rsidR="006A524B" w:rsidRPr="000738E6">
              <w:rPr>
                <w:rFonts w:asciiTheme="majorHAnsi" w:hAnsiTheme="majorHAnsi"/>
              </w:rPr>
              <w:t xml:space="preserve"> compared to</w:t>
            </w:r>
            <w:r w:rsidR="006A524B" w:rsidRPr="000738E6">
              <w:rPr>
                <w:rFonts w:asciiTheme="majorHAnsi" w:hAnsiTheme="majorHAnsi"/>
                <w:b/>
              </w:rPr>
              <w:t xml:space="preserve"> </w:t>
            </w:r>
            <w:r w:rsidR="006D04D4" w:rsidRPr="000738E6">
              <w:rPr>
                <w:rFonts w:asciiTheme="majorHAnsi" w:hAnsiTheme="majorHAnsi"/>
              </w:rPr>
              <w:t>39</w:t>
            </w:r>
            <w:r w:rsidR="006A524B" w:rsidRPr="000738E6">
              <w:rPr>
                <w:rFonts w:asciiTheme="majorHAnsi" w:hAnsiTheme="majorHAnsi"/>
              </w:rPr>
              <w:t>% of adults</w:t>
            </w:r>
            <w:r w:rsidR="006D04D4" w:rsidRPr="000738E6">
              <w:rPr>
                <w:rFonts w:asciiTheme="majorHAnsi" w:hAnsiTheme="majorHAnsi"/>
              </w:rPr>
              <w:t xml:space="preserve"> in the North West Metro area and 41% of adults Victoria wide.</w:t>
            </w:r>
            <w:r w:rsidR="006A524B" w:rsidRPr="000738E6">
              <w:rPr>
                <w:rFonts w:asciiTheme="majorHAnsi" w:hAnsiTheme="majorHAnsi"/>
                <w:b/>
              </w:rPr>
              <w:t xml:space="preserve"> </w:t>
            </w:r>
          </w:p>
        </w:tc>
      </w:tr>
    </w:tbl>
    <w:p w14:paraId="79487B54" w14:textId="77777777" w:rsidR="0065651F" w:rsidRPr="001C1D85" w:rsidRDefault="0065651F" w:rsidP="00282417">
      <w:pPr>
        <w:pStyle w:val="Header03"/>
        <w:spacing w:after="120"/>
        <w:rPr>
          <w:rFonts w:asciiTheme="majorHAnsi" w:hAnsiTheme="majorHAnsi"/>
          <w:sz w:val="28"/>
          <w:szCs w:val="28"/>
        </w:rPr>
      </w:pPr>
      <w:r w:rsidRPr="001C1D85">
        <w:rPr>
          <w:rFonts w:asciiTheme="majorHAnsi" w:hAnsiTheme="majorHAnsi"/>
          <w:sz w:val="28"/>
          <w:szCs w:val="28"/>
        </w:rPr>
        <w:t>Childhood Immunisation</w:t>
      </w: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544"/>
      </w:tblGrid>
      <w:tr w:rsidR="0065651F" w:rsidRPr="00030E4F" w14:paraId="1DD7910C" w14:textId="77777777" w:rsidTr="00282417">
        <w:trPr>
          <w:trHeight w:val="273"/>
        </w:trPr>
        <w:tc>
          <w:tcPr>
            <w:tcW w:w="6487" w:type="dxa"/>
            <w:shd w:val="clear" w:color="auto" w:fill="auto"/>
          </w:tcPr>
          <w:p w14:paraId="6CB02C9D" w14:textId="77777777" w:rsidR="0065651F" w:rsidRPr="000738E6" w:rsidRDefault="00FC18EB" w:rsidP="00282417">
            <w:pPr>
              <w:spacing w:after="120"/>
              <w:rPr>
                <w:rFonts w:asciiTheme="majorHAnsi" w:hAnsiTheme="majorHAnsi"/>
                <w:b/>
              </w:rPr>
            </w:pPr>
            <w:r w:rsidRPr="000738E6">
              <w:rPr>
                <w:rFonts w:asciiTheme="majorHAnsi" w:hAnsiTheme="majorHAnsi"/>
                <w:b/>
              </w:rPr>
              <w:t>Proportion of Fully Immunised Children</w:t>
            </w:r>
            <w:r w:rsidR="0065651F" w:rsidRPr="000738E6">
              <w:rPr>
                <w:rFonts w:asciiTheme="majorHAnsi" w:hAnsiTheme="majorHAnsi"/>
                <w:b/>
              </w:rPr>
              <w:t>, 2015</w:t>
            </w:r>
            <w:r w:rsidRPr="000738E6">
              <w:rPr>
                <w:rStyle w:val="FootnoteReference"/>
                <w:rFonts w:asciiTheme="majorHAnsi" w:hAnsiTheme="majorHAnsi"/>
                <w:b/>
              </w:rPr>
              <w:footnoteReference w:id="4"/>
            </w:r>
          </w:p>
        </w:tc>
        <w:tc>
          <w:tcPr>
            <w:tcW w:w="3544" w:type="dxa"/>
            <w:shd w:val="clear" w:color="auto" w:fill="auto"/>
          </w:tcPr>
          <w:p w14:paraId="3DAC80D7" w14:textId="77777777" w:rsidR="0065651F" w:rsidRPr="000738E6" w:rsidRDefault="0065651F" w:rsidP="005D01FF">
            <w:pPr>
              <w:rPr>
                <w:rFonts w:asciiTheme="majorHAnsi" w:hAnsiTheme="majorHAnsi"/>
              </w:rPr>
            </w:pPr>
          </w:p>
        </w:tc>
      </w:tr>
      <w:tr w:rsidR="0065651F" w:rsidRPr="00030E4F" w14:paraId="504A62F8" w14:textId="77777777" w:rsidTr="00282417">
        <w:trPr>
          <w:trHeight w:val="3388"/>
        </w:trPr>
        <w:tc>
          <w:tcPr>
            <w:tcW w:w="6487" w:type="dxa"/>
            <w:shd w:val="clear" w:color="auto" w:fill="auto"/>
          </w:tcPr>
          <w:p w14:paraId="71E44423" w14:textId="77777777" w:rsidR="0065651F" w:rsidRPr="000738E6" w:rsidRDefault="0065651F" w:rsidP="005D01FF">
            <w:pPr>
              <w:rPr>
                <w:rFonts w:asciiTheme="majorHAnsi" w:hAnsiTheme="majorHAnsi"/>
              </w:rPr>
            </w:pPr>
            <w:r w:rsidRPr="000738E6">
              <w:rPr>
                <w:rFonts w:asciiTheme="majorHAnsi" w:hAnsiTheme="majorHAnsi"/>
                <w:noProof/>
                <w:lang w:eastAsia="en-AU"/>
              </w:rPr>
              <w:drawing>
                <wp:inline distT="0" distB="0" distL="0" distR="0" wp14:anchorId="64544D9B" wp14:editId="1132207B">
                  <wp:extent cx="3800104" cy="2185060"/>
                  <wp:effectExtent l="0" t="0" r="0" b="5715"/>
                  <wp:docPr id="9" name="Chart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D16D731" w14:textId="77777777" w:rsidR="0065651F" w:rsidRPr="000738E6" w:rsidRDefault="00A41C25" w:rsidP="00A41C25">
            <w:pPr>
              <w:rPr>
                <w:rFonts w:asciiTheme="majorHAnsi" w:hAnsiTheme="majorHAnsi"/>
              </w:rPr>
            </w:pPr>
            <w:r w:rsidRPr="000738E6">
              <w:rPr>
                <w:rFonts w:asciiTheme="majorHAnsi" w:hAnsiTheme="majorHAnsi"/>
              </w:rPr>
              <w:t>There are a</w:t>
            </w:r>
            <w:r w:rsidRPr="000738E6">
              <w:rPr>
                <w:rFonts w:asciiTheme="majorHAnsi" w:hAnsiTheme="majorHAnsi"/>
                <w:b/>
              </w:rPr>
              <w:t xml:space="preserve"> slightly smaller proportion of immunised children in Wyndham </w:t>
            </w:r>
            <w:r w:rsidRPr="000738E6">
              <w:rPr>
                <w:rFonts w:asciiTheme="majorHAnsi" w:hAnsiTheme="majorHAnsi"/>
              </w:rPr>
              <w:t>compared to Victoria across all age groups.</w:t>
            </w:r>
            <w:r w:rsidRPr="000738E6">
              <w:rPr>
                <w:rFonts w:asciiTheme="majorHAnsi" w:hAnsiTheme="majorHAnsi"/>
                <w:b/>
              </w:rPr>
              <w:t xml:space="preserve"> </w:t>
            </w:r>
            <w:r w:rsidR="0065651F" w:rsidRPr="000738E6">
              <w:rPr>
                <w:rFonts w:asciiTheme="majorHAnsi" w:hAnsiTheme="majorHAnsi"/>
              </w:rPr>
              <w:t xml:space="preserve">   </w:t>
            </w:r>
          </w:p>
        </w:tc>
      </w:tr>
    </w:tbl>
    <w:p w14:paraId="50C39AB6" w14:textId="77777777" w:rsidR="0065651F" w:rsidRDefault="00282417" w:rsidP="00282417">
      <w:pPr>
        <w:spacing w:after="120"/>
        <w:rPr>
          <w:rFonts w:asciiTheme="majorHAnsi" w:hAnsiTheme="majorHAnsi"/>
          <w:color w:val="17365D" w:themeColor="text2" w:themeShade="BF"/>
          <w:sz w:val="28"/>
          <w:szCs w:val="28"/>
        </w:rPr>
      </w:pPr>
      <w:r w:rsidRPr="00282417">
        <w:rPr>
          <w:rFonts w:asciiTheme="majorHAnsi" w:hAnsiTheme="majorHAnsi"/>
          <w:color w:val="17365D" w:themeColor="text2" w:themeShade="BF"/>
          <w:sz w:val="28"/>
          <w:szCs w:val="28"/>
        </w:rPr>
        <w:t>Substance Abuse</w:t>
      </w:r>
    </w:p>
    <w:p w14:paraId="7B13110E" w14:textId="77777777" w:rsidR="00282417" w:rsidRPr="000738E6" w:rsidRDefault="00282417" w:rsidP="00282417">
      <w:pPr>
        <w:spacing w:after="120"/>
        <w:rPr>
          <w:rFonts w:asciiTheme="majorHAnsi" w:hAnsiTheme="majorHAnsi"/>
          <w:b/>
        </w:rPr>
      </w:pPr>
      <w:r w:rsidRPr="00282417">
        <w:rPr>
          <w:rFonts w:asciiTheme="majorHAnsi" w:hAnsiTheme="majorHAnsi"/>
          <w:b/>
        </w:rPr>
        <w:t xml:space="preserve">Lifetime </w:t>
      </w:r>
      <w:r w:rsidR="000738E6">
        <w:rPr>
          <w:rFonts w:asciiTheme="majorHAnsi" w:hAnsiTheme="majorHAnsi"/>
          <w:b/>
        </w:rPr>
        <w:t>R</w:t>
      </w:r>
      <w:r w:rsidRPr="000738E6">
        <w:rPr>
          <w:rFonts w:asciiTheme="majorHAnsi" w:hAnsiTheme="majorHAnsi"/>
          <w:b/>
        </w:rPr>
        <w:t xml:space="preserve">isk of </w:t>
      </w:r>
      <w:r w:rsidR="000738E6">
        <w:rPr>
          <w:rFonts w:asciiTheme="majorHAnsi" w:hAnsiTheme="majorHAnsi"/>
          <w:b/>
        </w:rPr>
        <w:t>A</w:t>
      </w:r>
      <w:r w:rsidRPr="000738E6">
        <w:rPr>
          <w:rFonts w:asciiTheme="majorHAnsi" w:hAnsiTheme="majorHAnsi"/>
          <w:b/>
        </w:rPr>
        <w:t>lcohol-</w:t>
      </w:r>
      <w:r w:rsidR="000738E6">
        <w:rPr>
          <w:rFonts w:asciiTheme="majorHAnsi" w:hAnsiTheme="majorHAnsi"/>
          <w:b/>
        </w:rPr>
        <w:t>R</w:t>
      </w:r>
      <w:r w:rsidRPr="000738E6">
        <w:rPr>
          <w:rFonts w:asciiTheme="majorHAnsi" w:hAnsiTheme="majorHAnsi"/>
          <w:b/>
        </w:rPr>
        <w:t xml:space="preserve">elated </w:t>
      </w:r>
      <w:r w:rsidR="000738E6">
        <w:rPr>
          <w:rFonts w:asciiTheme="majorHAnsi" w:hAnsiTheme="majorHAnsi"/>
          <w:b/>
        </w:rPr>
        <w:t>H</w:t>
      </w:r>
      <w:r w:rsidRPr="000738E6">
        <w:rPr>
          <w:rFonts w:asciiTheme="majorHAnsi" w:hAnsiTheme="majorHAnsi"/>
          <w:b/>
        </w:rPr>
        <w:t xml:space="preserve">arm in </w:t>
      </w:r>
      <w:r w:rsidR="000738E6">
        <w:rPr>
          <w:rFonts w:asciiTheme="majorHAnsi" w:hAnsiTheme="majorHAnsi"/>
          <w:b/>
        </w:rPr>
        <w:t>A</w:t>
      </w:r>
      <w:r w:rsidRPr="000738E6">
        <w:rPr>
          <w:rFonts w:asciiTheme="majorHAnsi" w:hAnsiTheme="majorHAnsi"/>
          <w:b/>
        </w:rPr>
        <w:t>dults, 2014</w:t>
      </w:r>
      <w:r w:rsidRPr="000738E6">
        <w:rPr>
          <w:rStyle w:val="FootnoteReference"/>
          <w:rFonts w:asciiTheme="majorHAnsi" w:hAnsiTheme="majorHAnsi"/>
          <w:b/>
        </w:rPr>
        <w:footnoteReference w:id="5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6"/>
        <w:gridCol w:w="3439"/>
      </w:tblGrid>
      <w:tr w:rsidR="00B37765" w:rsidRPr="000738E6" w14:paraId="44F4FAB2" w14:textId="77777777" w:rsidTr="00282417">
        <w:tc>
          <w:tcPr>
            <w:tcW w:w="5646" w:type="dxa"/>
          </w:tcPr>
          <w:p w14:paraId="2582373B" w14:textId="77777777" w:rsidR="00B37765" w:rsidRPr="000738E6" w:rsidRDefault="00B37765" w:rsidP="00912CA6">
            <w:pPr>
              <w:rPr>
                <w:rFonts w:asciiTheme="majorHAnsi" w:hAnsiTheme="majorHAnsi"/>
              </w:rPr>
            </w:pPr>
            <w:r w:rsidRPr="000738E6">
              <w:rPr>
                <w:rFonts w:asciiTheme="majorHAnsi" w:hAnsiTheme="majorHAnsi"/>
                <w:noProof/>
                <w:lang w:eastAsia="en-AU"/>
              </w:rPr>
              <w:drawing>
                <wp:inline distT="0" distB="0" distL="0" distR="0" wp14:anchorId="4B14DB1C" wp14:editId="7A26A57F">
                  <wp:extent cx="3431969" cy="1793174"/>
                  <wp:effectExtent l="0" t="0" r="0" b="0"/>
                  <wp:docPr id="2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3439" w:type="dxa"/>
          </w:tcPr>
          <w:p w14:paraId="0F8D90B4" w14:textId="77777777" w:rsidR="00C73934" w:rsidRPr="000738E6" w:rsidRDefault="005720A0" w:rsidP="005720A0">
            <w:pPr>
              <w:rPr>
                <w:rFonts w:asciiTheme="majorHAnsi" w:hAnsiTheme="majorHAnsi"/>
              </w:rPr>
            </w:pPr>
            <w:r w:rsidRPr="000738E6">
              <w:rPr>
                <w:rFonts w:asciiTheme="majorHAnsi" w:hAnsiTheme="majorHAnsi"/>
              </w:rPr>
              <w:t>J</w:t>
            </w:r>
            <w:r w:rsidR="00C73934" w:rsidRPr="000738E6">
              <w:rPr>
                <w:rFonts w:asciiTheme="majorHAnsi" w:hAnsiTheme="majorHAnsi"/>
              </w:rPr>
              <w:t xml:space="preserve">ust </w:t>
            </w:r>
            <w:r w:rsidR="00C73934" w:rsidRPr="000738E6">
              <w:rPr>
                <w:rFonts w:asciiTheme="majorHAnsi" w:hAnsiTheme="majorHAnsi"/>
                <w:b/>
              </w:rPr>
              <w:t>over half the adult</w:t>
            </w:r>
            <w:r w:rsidR="00C73934" w:rsidRPr="000738E6">
              <w:rPr>
                <w:rFonts w:asciiTheme="majorHAnsi" w:hAnsiTheme="majorHAnsi"/>
              </w:rPr>
              <w:t xml:space="preserve"> population of Wyndham (52%) </w:t>
            </w:r>
            <w:r w:rsidR="00C73934" w:rsidRPr="000738E6">
              <w:rPr>
                <w:rFonts w:asciiTheme="majorHAnsi" w:hAnsiTheme="majorHAnsi"/>
                <w:b/>
              </w:rPr>
              <w:t>face an increased risk of alcohol-related harm due to drinking behaviour,</w:t>
            </w:r>
            <w:r w:rsidRPr="000738E6">
              <w:rPr>
                <w:rFonts w:asciiTheme="majorHAnsi" w:hAnsiTheme="majorHAnsi"/>
                <w:b/>
              </w:rPr>
              <w:t xml:space="preserve"> </w:t>
            </w:r>
            <w:r w:rsidRPr="000738E6">
              <w:rPr>
                <w:rFonts w:asciiTheme="majorHAnsi" w:hAnsiTheme="majorHAnsi"/>
              </w:rPr>
              <w:t>compared to 54% of adults in the North West Metro area, and 59% of adults Victoria wide</w:t>
            </w:r>
            <w:r w:rsidR="00C73934" w:rsidRPr="000738E6">
              <w:rPr>
                <w:rFonts w:asciiTheme="majorHAnsi" w:hAnsiTheme="majorHAnsi"/>
              </w:rPr>
              <w:t>.</w:t>
            </w:r>
          </w:p>
        </w:tc>
      </w:tr>
    </w:tbl>
    <w:p w14:paraId="05424613" w14:textId="77777777" w:rsidR="00B37765" w:rsidRPr="00282417" w:rsidRDefault="00282417" w:rsidP="00282417">
      <w:pPr>
        <w:spacing w:after="120"/>
        <w:rPr>
          <w:rFonts w:asciiTheme="majorHAnsi" w:hAnsiTheme="majorHAnsi"/>
          <w:b/>
        </w:rPr>
      </w:pPr>
      <w:r w:rsidRPr="00282417">
        <w:rPr>
          <w:rFonts w:asciiTheme="majorHAnsi" w:hAnsiTheme="majorHAnsi"/>
          <w:b/>
        </w:rPr>
        <w:lastRenderedPageBreak/>
        <w:t xml:space="preserve">Proportion of </w:t>
      </w:r>
      <w:r w:rsidR="000738E6">
        <w:rPr>
          <w:rFonts w:asciiTheme="majorHAnsi" w:hAnsiTheme="majorHAnsi"/>
          <w:b/>
        </w:rPr>
        <w:t>A</w:t>
      </w:r>
      <w:r w:rsidRPr="00282417">
        <w:rPr>
          <w:rFonts w:asciiTheme="majorHAnsi" w:hAnsiTheme="majorHAnsi"/>
          <w:b/>
        </w:rPr>
        <w:t xml:space="preserve">dults who are </w:t>
      </w:r>
      <w:r w:rsidR="000738E6">
        <w:rPr>
          <w:rFonts w:asciiTheme="majorHAnsi" w:hAnsiTheme="majorHAnsi"/>
          <w:b/>
        </w:rPr>
        <w:t>C</w:t>
      </w:r>
      <w:r w:rsidRPr="00282417">
        <w:rPr>
          <w:rFonts w:asciiTheme="majorHAnsi" w:hAnsiTheme="majorHAnsi"/>
          <w:b/>
        </w:rPr>
        <w:t xml:space="preserve">urrent </w:t>
      </w:r>
      <w:r w:rsidR="000738E6">
        <w:rPr>
          <w:rFonts w:asciiTheme="majorHAnsi" w:hAnsiTheme="majorHAnsi"/>
          <w:b/>
        </w:rPr>
        <w:t>S</w:t>
      </w:r>
      <w:r w:rsidRPr="00282417">
        <w:rPr>
          <w:rFonts w:asciiTheme="majorHAnsi" w:hAnsiTheme="majorHAnsi"/>
          <w:b/>
        </w:rPr>
        <w:t>mokers, 2008 to 2014</w:t>
      </w:r>
      <w:r>
        <w:rPr>
          <w:rStyle w:val="FootnoteReference"/>
          <w:rFonts w:asciiTheme="majorHAnsi" w:hAnsiTheme="majorHAnsi"/>
          <w:b/>
        </w:rPr>
        <w:footnoteReference w:id="6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6"/>
        <w:gridCol w:w="2872"/>
      </w:tblGrid>
      <w:tr w:rsidR="00B37765" w:rsidRPr="00030E4F" w14:paraId="272B823E" w14:textId="77777777" w:rsidTr="00282417">
        <w:tc>
          <w:tcPr>
            <w:tcW w:w="5316" w:type="dxa"/>
          </w:tcPr>
          <w:p w14:paraId="5A86FE59" w14:textId="77777777" w:rsidR="00B37765" w:rsidRPr="008E7FB6" w:rsidRDefault="00B37765" w:rsidP="00912CA6">
            <w:pPr>
              <w:rPr>
                <w:rFonts w:asciiTheme="majorHAnsi" w:hAnsiTheme="majorHAnsi"/>
                <w:sz w:val="24"/>
                <w:szCs w:val="24"/>
              </w:rPr>
            </w:pPr>
            <w:r w:rsidRPr="008E7FB6">
              <w:rPr>
                <w:rFonts w:asciiTheme="majorHAnsi" w:hAnsiTheme="majorHAnsi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37A801A8" wp14:editId="43546212">
                  <wp:extent cx="3219450" cy="1931670"/>
                  <wp:effectExtent l="0" t="0" r="0" b="0"/>
                  <wp:docPr id="4" name="Chart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2872" w:type="dxa"/>
          </w:tcPr>
          <w:p w14:paraId="07D8860F" w14:textId="77777777" w:rsidR="00B37765" w:rsidRPr="000738E6" w:rsidRDefault="00D4515F" w:rsidP="00912CA6">
            <w:pPr>
              <w:rPr>
                <w:rFonts w:asciiTheme="majorHAnsi" w:hAnsiTheme="majorHAnsi"/>
              </w:rPr>
            </w:pPr>
            <w:r w:rsidRPr="000738E6">
              <w:rPr>
                <w:rFonts w:asciiTheme="majorHAnsi" w:hAnsiTheme="majorHAnsi"/>
              </w:rPr>
              <w:t xml:space="preserve">Similarly to rates across Victoria and the North West Metro area, </w:t>
            </w:r>
            <w:r w:rsidRPr="000738E6">
              <w:rPr>
                <w:rFonts w:asciiTheme="majorHAnsi" w:hAnsiTheme="majorHAnsi"/>
                <w:b/>
              </w:rPr>
              <w:t>around 13% of Wyndham adults smoke.</w:t>
            </w:r>
            <w:r w:rsidRPr="000738E6">
              <w:rPr>
                <w:rFonts w:asciiTheme="majorHAnsi" w:hAnsiTheme="majorHAnsi"/>
              </w:rPr>
              <w:t xml:space="preserve"> </w:t>
            </w:r>
          </w:p>
          <w:p w14:paraId="189BAC3E" w14:textId="77777777" w:rsidR="00D4515F" w:rsidRPr="008E7FB6" w:rsidRDefault="00D4515F" w:rsidP="00912CA6">
            <w:pPr>
              <w:rPr>
                <w:rFonts w:asciiTheme="majorHAnsi" w:hAnsiTheme="majorHAnsi"/>
                <w:sz w:val="24"/>
                <w:szCs w:val="24"/>
              </w:rPr>
            </w:pPr>
            <w:r w:rsidRPr="000738E6">
              <w:rPr>
                <w:rFonts w:asciiTheme="majorHAnsi" w:hAnsiTheme="majorHAnsi"/>
              </w:rPr>
              <w:t xml:space="preserve">Between 2008 and 2014, the proportion of smokers in Wyndham has </w:t>
            </w:r>
            <w:r w:rsidRPr="000738E6">
              <w:rPr>
                <w:rFonts w:asciiTheme="majorHAnsi" w:hAnsiTheme="majorHAnsi"/>
                <w:b/>
              </w:rPr>
              <w:t>decreased by 10%.</w:t>
            </w:r>
          </w:p>
        </w:tc>
      </w:tr>
    </w:tbl>
    <w:p w14:paraId="4B305572" w14:textId="77777777" w:rsidR="00B37765" w:rsidRDefault="00B37765" w:rsidP="00912CA6">
      <w:pPr>
        <w:rPr>
          <w:rFonts w:asciiTheme="majorHAnsi" w:hAnsiTheme="majorHAnsi"/>
          <w:color w:val="0F243E" w:themeColor="text2" w:themeShade="80"/>
          <w:sz w:val="28"/>
          <w:szCs w:val="28"/>
        </w:rPr>
      </w:pPr>
      <w:r w:rsidRPr="00FE5CA9">
        <w:rPr>
          <w:rFonts w:asciiTheme="majorHAnsi" w:hAnsiTheme="majorHAnsi"/>
          <w:color w:val="0F243E" w:themeColor="text2" w:themeShade="80"/>
          <w:sz w:val="28"/>
          <w:szCs w:val="28"/>
        </w:rPr>
        <w:t xml:space="preserve">Mental Health </w:t>
      </w:r>
    </w:p>
    <w:p w14:paraId="184AD6D9" w14:textId="77777777" w:rsidR="00FE5CA9" w:rsidRPr="00FE5CA9" w:rsidRDefault="00FE5CA9" w:rsidP="00FE5CA9">
      <w:pPr>
        <w:spacing w:after="120"/>
        <w:rPr>
          <w:rFonts w:asciiTheme="majorHAnsi" w:hAnsiTheme="majorHAnsi"/>
          <w:b/>
        </w:rPr>
      </w:pPr>
      <w:r w:rsidRPr="00FE5CA9">
        <w:rPr>
          <w:rFonts w:asciiTheme="majorHAnsi" w:hAnsiTheme="majorHAnsi"/>
          <w:b/>
        </w:rPr>
        <w:t xml:space="preserve">Lifetime </w:t>
      </w:r>
      <w:r w:rsidR="000738E6">
        <w:rPr>
          <w:rFonts w:asciiTheme="majorHAnsi" w:hAnsiTheme="majorHAnsi"/>
          <w:b/>
        </w:rPr>
        <w:t>P</w:t>
      </w:r>
      <w:r w:rsidRPr="00FE5CA9">
        <w:rPr>
          <w:rFonts w:asciiTheme="majorHAnsi" w:hAnsiTheme="majorHAnsi"/>
          <w:b/>
        </w:rPr>
        <w:t xml:space="preserve">revalence of </w:t>
      </w:r>
      <w:r w:rsidR="000738E6">
        <w:rPr>
          <w:rFonts w:asciiTheme="majorHAnsi" w:hAnsiTheme="majorHAnsi"/>
          <w:b/>
        </w:rPr>
        <w:t>D</w:t>
      </w:r>
      <w:r w:rsidRPr="00FE5CA9">
        <w:rPr>
          <w:rFonts w:asciiTheme="majorHAnsi" w:hAnsiTheme="majorHAnsi"/>
          <w:b/>
        </w:rPr>
        <w:t xml:space="preserve">epression and </w:t>
      </w:r>
      <w:r w:rsidR="000738E6">
        <w:rPr>
          <w:rFonts w:asciiTheme="majorHAnsi" w:hAnsiTheme="majorHAnsi"/>
          <w:b/>
        </w:rPr>
        <w:t>A</w:t>
      </w:r>
      <w:r w:rsidRPr="00FE5CA9">
        <w:rPr>
          <w:rFonts w:asciiTheme="majorHAnsi" w:hAnsiTheme="majorHAnsi"/>
          <w:b/>
        </w:rPr>
        <w:t>nxiety, 2014</w:t>
      </w:r>
      <w:r w:rsidRPr="00FE5CA9">
        <w:rPr>
          <w:rStyle w:val="FootnoteReference"/>
          <w:rFonts w:asciiTheme="majorHAnsi" w:hAnsiTheme="majorHAnsi"/>
          <w:b/>
        </w:rPr>
        <w:footnoteReference w:id="7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536"/>
      </w:tblGrid>
      <w:tr w:rsidR="00B37765" w:rsidRPr="00030E4F" w14:paraId="3BE37CF3" w14:textId="77777777" w:rsidTr="00FE5CA9">
        <w:tc>
          <w:tcPr>
            <w:tcW w:w="5637" w:type="dxa"/>
          </w:tcPr>
          <w:p w14:paraId="0A2113E8" w14:textId="77777777" w:rsidR="00B37765" w:rsidRPr="008E7FB6" w:rsidRDefault="00B37765" w:rsidP="00912CA6">
            <w:pPr>
              <w:rPr>
                <w:rFonts w:asciiTheme="majorHAnsi" w:hAnsiTheme="majorHAnsi"/>
                <w:sz w:val="24"/>
                <w:szCs w:val="24"/>
              </w:rPr>
            </w:pPr>
            <w:r w:rsidRPr="008E7FB6">
              <w:rPr>
                <w:rFonts w:asciiTheme="majorHAnsi" w:hAnsiTheme="majorHAnsi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174336CA" wp14:editId="0899AC97">
                  <wp:extent cx="3408218" cy="2125684"/>
                  <wp:effectExtent l="0" t="0" r="1905" b="8255"/>
                  <wp:docPr id="6" name="Chart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14:paraId="3205734A" w14:textId="77777777" w:rsidR="00B37765" w:rsidRPr="000738E6" w:rsidRDefault="00710086" w:rsidP="00912CA6">
            <w:pPr>
              <w:rPr>
                <w:rFonts w:asciiTheme="majorHAnsi" w:hAnsiTheme="majorHAnsi"/>
              </w:rPr>
            </w:pPr>
            <w:r w:rsidRPr="000738E6">
              <w:rPr>
                <w:rFonts w:asciiTheme="majorHAnsi" w:hAnsiTheme="majorHAnsi"/>
              </w:rPr>
              <w:t xml:space="preserve">The </w:t>
            </w:r>
            <w:r w:rsidR="008E7FB6" w:rsidRPr="000738E6">
              <w:rPr>
                <w:rFonts w:asciiTheme="majorHAnsi" w:hAnsiTheme="majorHAnsi"/>
              </w:rPr>
              <w:t>lifetime</w:t>
            </w:r>
            <w:r w:rsidRPr="000738E6">
              <w:rPr>
                <w:rFonts w:asciiTheme="majorHAnsi" w:hAnsiTheme="majorHAnsi"/>
              </w:rPr>
              <w:t xml:space="preserve"> prevalence rate</w:t>
            </w:r>
            <w:r w:rsidR="00DD6491" w:rsidRPr="000738E6">
              <w:rPr>
                <w:rFonts w:asciiTheme="majorHAnsi" w:hAnsiTheme="majorHAnsi"/>
              </w:rPr>
              <w:t xml:space="preserve"> of depression and anxiety</w:t>
            </w:r>
            <w:r w:rsidRPr="000738E6">
              <w:rPr>
                <w:rFonts w:asciiTheme="majorHAnsi" w:hAnsiTheme="majorHAnsi"/>
              </w:rPr>
              <w:t xml:space="preserve"> amongst adults in Wyndham has increased between 2011/12 </w:t>
            </w:r>
            <w:r w:rsidR="00DD6491" w:rsidRPr="000738E6">
              <w:rPr>
                <w:rFonts w:asciiTheme="majorHAnsi" w:hAnsiTheme="majorHAnsi"/>
              </w:rPr>
              <w:t>and 2014</w:t>
            </w:r>
            <w:r w:rsidRPr="000738E6">
              <w:rPr>
                <w:rFonts w:asciiTheme="majorHAnsi" w:hAnsiTheme="majorHAnsi"/>
              </w:rPr>
              <w:t xml:space="preserve">. </w:t>
            </w:r>
          </w:p>
          <w:p w14:paraId="1624A6B7" w14:textId="77777777" w:rsidR="00FE5CA9" w:rsidRPr="000738E6" w:rsidRDefault="00710086" w:rsidP="00DD6491">
            <w:pPr>
              <w:rPr>
                <w:rFonts w:asciiTheme="majorHAnsi" w:hAnsiTheme="majorHAnsi"/>
              </w:rPr>
            </w:pPr>
            <w:r w:rsidRPr="000738E6">
              <w:rPr>
                <w:rFonts w:asciiTheme="majorHAnsi" w:hAnsiTheme="majorHAnsi"/>
              </w:rPr>
              <w:t xml:space="preserve">In 2014, </w:t>
            </w:r>
            <w:r w:rsidR="00DD6491" w:rsidRPr="000738E6">
              <w:rPr>
                <w:rFonts w:asciiTheme="majorHAnsi" w:hAnsiTheme="majorHAnsi"/>
                <w:b/>
              </w:rPr>
              <w:t>23</w:t>
            </w:r>
            <w:r w:rsidRPr="000738E6">
              <w:rPr>
                <w:rFonts w:asciiTheme="majorHAnsi" w:hAnsiTheme="majorHAnsi"/>
                <w:b/>
              </w:rPr>
              <w:t xml:space="preserve">% of Wyndham adults </w:t>
            </w:r>
            <w:r w:rsidR="00DD6491" w:rsidRPr="000738E6">
              <w:rPr>
                <w:rFonts w:asciiTheme="majorHAnsi" w:hAnsiTheme="majorHAnsi"/>
                <w:b/>
              </w:rPr>
              <w:t>had been diagnosed with depression o</w:t>
            </w:r>
            <w:r w:rsidR="00EE011E" w:rsidRPr="000738E6">
              <w:rPr>
                <w:rFonts w:asciiTheme="majorHAnsi" w:hAnsiTheme="majorHAnsi"/>
                <w:b/>
              </w:rPr>
              <w:t>r</w:t>
            </w:r>
            <w:r w:rsidR="00DD6491" w:rsidRPr="000738E6">
              <w:rPr>
                <w:rFonts w:asciiTheme="majorHAnsi" w:hAnsiTheme="majorHAnsi"/>
                <w:b/>
              </w:rPr>
              <w:t xml:space="preserve"> anxiety, compared to 19</w:t>
            </w:r>
            <w:r w:rsidR="00FE5CA9" w:rsidRPr="000738E6">
              <w:rPr>
                <w:rFonts w:asciiTheme="majorHAnsi" w:hAnsiTheme="majorHAnsi"/>
                <w:b/>
              </w:rPr>
              <w:t>%</w:t>
            </w:r>
            <w:r w:rsidR="00DD6491" w:rsidRPr="000738E6">
              <w:rPr>
                <w:rFonts w:asciiTheme="majorHAnsi" w:hAnsiTheme="majorHAnsi"/>
                <w:b/>
              </w:rPr>
              <w:t xml:space="preserve"> of adults in 2011/12.</w:t>
            </w:r>
            <w:r w:rsidR="00DD6491" w:rsidRPr="000738E6">
              <w:rPr>
                <w:rFonts w:asciiTheme="majorHAnsi" w:hAnsiTheme="majorHAnsi"/>
              </w:rPr>
              <w:t xml:space="preserve"> </w:t>
            </w:r>
          </w:p>
          <w:p w14:paraId="171C833D" w14:textId="77777777" w:rsidR="00710086" w:rsidRPr="008E7FB6" w:rsidRDefault="00DD6491" w:rsidP="00DD6491">
            <w:pPr>
              <w:rPr>
                <w:rFonts w:asciiTheme="majorHAnsi" w:hAnsiTheme="majorHAnsi"/>
                <w:sz w:val="24"/>
                <w:szCs w:val="24"/>
              </w:rPr>
            </w:pPr>
            <w:r w:rsidRPr="000738E6">
              <w:rPr>
                <w:rFonts w:asciiTheme="majorHAnsi" w:hAnsiTheme="majorHAnsi"/>
              </w:rPr>
              <w:t>The rate of depression and anxiety in Wyndham is only slightly lower than across the North and West Metro area and Victoria.</w:t>
            </w:r>
            <w:r w:rsidRPr="008E7FB6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</w:tbl>
    <w:p w14:paraId="213D3C30" w14:textId="77777777" w:rsidR="00B37765" w:rsidRPr="00FE5CA9" w:rsidRDefault="00B37765" w:rsidP="00912CA6">
      <w:pPr>
        <w:rPr>
          <w:rFonts w:asciiTheme="majorHAnsi" w:hAnsiTheme="majorHAnsi"/>
          <w:color w:val="0F243E" w:themeColor="text2" w:themeShade="80"/>
          <w:sz w:val="28"/>
          <w:szCs w:val="28"/>
        </w:rPr>
      </w:pPr>
      <w:r w:rsidRPr="00FE5CA9">
        <w:rPr>
          <w:rFonts w:asciiTheme="majorHAnsi" w:hAnsiTheme="majorHAnsi"/>
          <w:color w:val="0F243E" w:themeColor="text2" w:themeShade="80"/>
          <w:sz w:val="28"/>
          <w:szCs w:val="28"/>
        </w:rPr>
        <w:t xml:space="preserve">Electronic Gaming Machines </w:t>
      </w:r>
    </w:p>
    <w:p w14:paraId="453AC2F9" w14:textId="77777777" w:rsidR="00FE5CA9" w:rsidRPr="00FE5CA9" w:rsidRDefault="00FE5CA9" w:rsidP="00912CA6">
      <w:pPr>
        <w:rPr>
          <w:rFonts w:asciiTheme="majorHAnsi" w:hAnsiTheme="majorHAnsi"/>
          <w:b/>
        </w:rPr>
      </w:pPr>
      <w:r w:rsidRPr="00FE5CA9">
        <w:rPr>
          <w:rFonts w:asciiTheme="majorHAnsi" w:hAnsiTheme="majorHAnsi"/>
          <w:b/>
        </w:rPr>
        <w:t xml:space="preserve">Number of </w:t>
      </w:r>
      <w:r w:rsidR="00561567">
        <w:rPr>
          <w:rFonts w:asciiTheme="majorHAnsi" w:hAnsiTheme="majorHAnsi"/>
          <w:b/>
        </w:rPr>
        <w:t>E</w:t>
      </w:r>
      <w:r w:rsidRPr="00FE5CA9">
        <w:rPr>
          <w:rFonts w:asciiTheme="majorHAnsi" w:hAnsiTheme="majorHAnsi"/>
          <w:b/>
        </w:rPr>
        <w:t xml:space="preserve">lectronic </w:t>
      </w:r>
      <w:r w:rsidR="00561567">
        <w:rPr>
          <w:rFonts w:asciiTheme="majorHAnsi" w:hAnsiTheme="majorHAnsi"/>
          <w:b/>
        </w:rPr>
        <w:t>G</w:t>
      </w:r>
      <w:r w:rsidRPr="00FE5CA9">
        <w:rPr>
          <w:rFonts w:asciiTheme="majorHAnsi" w:hAnsiTheme="majorHAnsi"/>
          <w:b/>
        </w:rPr>
        <w:t xml:space="preserve">aming </w:t>
      </w:r>
      <w:r w:rsidR="00561567">
        <w:rPr>
          <w:rFonts w:asciiTheme="majorHAnsi" w:hAnsiTheme="majorHAnsi"/>
          <w:b/>
        </w:rPr>
        <w:t>M</w:t>
      </w:r>
      <w:r w:rsidRPr="00FE5CA9">
        <w:rPr>
          <w:rFonts w:asciiTheme="majorHAnsi" w:hAnsiTheme="majorHAnsi"/>
          <w:b/>
        </w:rPr>
        <w:t xml:space="preserve">achines per 1,000 </w:t>
      </w:r>
      <w:r w:rsidR="00561567">
        <w:rPr>
          <w:rFonts w:asciiTheme="majorHAnsi" w:hAnsiTheme="majorHAnsi"/>
          <w:b/>
        </w:rPr>
        <w:t>A</w:t>
      </w:r>
      <w:r w:rsidRPr="00FE5CA9">
        <w:rPr>
          <w:rFonts w:asciiTheme="majorHAnsi" w:hAnsiTheme="majorHAnsi"/>
          <w:b/>
        </w:rPr>
        <w:t>dults</w:t>
      </w:r>
      <w:r>
        <w:rPr>
          <w:rFonts w:asciiTheme="majorHAnsi" w:hAnsiTheme="majorHAnsi"/>
          <w:b/>
        </w:rPr>
        <w:t>, 2015-16</w:t>
      </w:r>
      <w:r>
        <w:rPr>
          <w:rStyle w:val="FootnoteReference"/>
          <w:rFonts w:asciiTheme="majorHAnsi" w:hAnsiTheme="majorHAnsi"/>
          <w:b/>
        </w:rPr>
        <w:footnoteReference w:id="8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0"/>
        <w:gridCol w:w="3354"/>
      </w:tblGrid>
      <w:tr w:rsidR="00B37765" w:rsidRPr="00030E4F" w14:paraId="021D6369" w14:textId="77777777" w:rsidTr="00FE5CA9">
        <w:tc>
          <w:tcPr>
            <w:tcW w:w="5766" w:type="dxa"/>
          </w:tcPr>
          <w:p w14:paraId="7A569382" w14:textId="77777777" w:rsidR="00B37765" w:rsidRPr="008E7FB6" w:rsidRDefault="00B37765" w:rsidP="00912CA6">
            <w:pPr>
              <w:rPr>
                <w:rFonts w:asciiTheme="majorHAnsi" w:hAnsiTheme="majorHAnsi"/>
                <w:sz w:val="24"/>
                <w:szCs w:val="24"/>
              </w:rPr>
            </w:pPr>
            <w:r w:rsidRPr="008E7FB6">
              <w:rPr>
                <w:rFonts w:asciiTheme="majorHAnsi" w:hAnsiTheme="majorHAnsi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0A7EE218" wp14:editId="40B45FE7">
                  <wp:extent cx="4346369" cy="2125683"/>
                  <wp:effectExtent l="0" t="0" r="0" b="8255"/>
                  <wp:docPr id="7" name="Chart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  <w:tc>
          <w:tcPr>
            <w:tcW w:w="3981" w:type="dxa"/>
          </w:tcPr>
          <w:p w14:paraId="6665E640" w14:textId="77777777" w:rsidR="00FE5CA9" w:rsidRDefault="00FE5CA9" w:rsidP="00FE5CA9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6E3F012F" w14:textId="77777777" w:rsidR="00B37765" w:rsidRPr="000738E6" w:rsidRDefault="00FE5CA9" w:rsidP="00EE011E">
            <w:pPr>
              <w:spacing w:after="120"/>
              <w:rPr>
                <w:rFonts w:asciiTheme="majorHAnsi" w:hAnsiTheme="majorHAnsi"/>
              </w:rPr>
            </w:pPr>
            <w:r w:rsidRPr="000738E6">
              <w:rPr>
                <w:rFonts w:asciiTheme="majorHAnsi" w:hAnsiTheme="majorHAnsi"/>
                <w:b/>
              </w:rPr>
              <w:t xml:space="preserve">In </w:t>
            </w:r>
            <w:r w:rsidR="00D4515F" w:rsidRPr="000738E6">
              <w:rPr>
                <w:rFonts w:asciiTheme="majorHAnsi" w:hAnsiTheme="majorHAnsi"/>
                <w:b/>
              </w:rPr>
              <w:t>Wy</w:t>
            </w:r>
            <w:r w:rsidRPr="000738E6">
              <w:rPr>
                <w:rFonts w:asciiTheme="majorHAnsi" w:hAnsiTheme="majorHAnsi"/>
                <w:b/>
              </w:rPr>
              <w:t>ndham, there are approximately 5.7</w:t>
            </w:r>
            <w:r w:rsidR="00D4515F" w:rsidRPr="000738E6">
              <w:rPr>
                <w:rFonts w:asciiTheme="majorHAnsi" w:hAnsiTheme="majorHAnsi"/>
                <w:b/>
              </w:rPr>
              <w:t xml:space="preserve"> Electronic Gaming Machines (EGMs</w:t>
            </w:r>
            <w:r w:rsidR="00D4515F" w:rsidRPr="000738E6">
              <w:rPr>
                <w:rFonts w:asciiTheme="majorHAnsi" w:hAnsiTheme="majorHAnsi"/>
              </w:rPr>
              <w:t>)</w:t>
            </w:r>
            <w:r w:rsidRPr="000738E6">
              <w:rPr>
                <w:rFonts w:asciiTheme="majorHAnsi" w:hAnsiTheme="majorHAnsi"/>
              </w:rPr>
              <w:t xml:space="preserve"> </w:t>
            </w:r>
            <w:r w:rsidR="00EE011E" w:rsidRPr="000738E6">
              <w:rPr>
                <w:rFonts w:asciiTheme="majorHAnsi" w:hAnsiTheme="majorHAnsi"/>
                <w:b/>
              </w:rPr>
              <w:t>p</w:t>
            </w:r>
            <w:r w:rsidRPr="000738E6">
              <w:rPr>
                <w:rFonts w:asciiTheme="majorHAnsi" w:hAnsiTheme="majorHAnsi"/>
                <w:b/>
              </w:rPr>
              <w:t>er 1,000 adults</w:t>
            </w:r>
            <w:r w:rsidR="00D4515F" w:rsidRPr="000738E6">
              <w:rPr>
                <w:rFonts w:asciiTheme="majorHAnsi" w:hAnsiTheme="majorHAnsi"/>
              </w:rPr>
              <w:t xml:space="preserve">. This is higher than other growth areas across Greater Melbourne, </w:t>
            </w:r>
            <w:r w:rsidR="00655026" w:rsidRPr="000738E6">
              <w:rPr>
                <w:rFonts w:asciiTheme="majorHAnsi" w:hAnsiTheme="majorHAnsi"/>
              </w:rPr>
              <w:t xml:space="preserve">including </w:t>
            </w:r>
            <w:r w:rsidRPr="000738E6">
              <w:rPr>
                <w:rFonts w:asciiTheme="majorHAnsi" w:hAnsiTheme="majorHAnsi"/>
              </w:rPr>
              <w:t>Hume (5.5</w:t>
            </w:r>
            <w:r w:rsidR="00D4515F" w:rsidRPr="000738E6">
              <w:rPr>
                <w:rFonts w:asciiTheme="majorHAnsi" w:hAnsiTheme="majorHAnsi"/>
              </w:rPr>
              <w:t>), Casey (4</w:t>
            </w:r>
            <w:r w:rsidRPr="000738E6">
              <w:rPr>
                <w:rFonts w:asciiTheme="majorHAnsi" w:hAnsiTheme="majorHAnsi"/>
              </w:rPr>
              <w:t>.0</w:t>
            </w:r>
            <w:r w:rsidR="00D4515F" w:rsidRPr="000738E6">
              <w:rPr>
                <w:rFonts w:asciiTheme="majorHAnsi" w:hAnsiTheme="majorHAnsi"/>
              </w:rPr>
              <w:t>) and Melton (5</w:t>
            </w:r>
            <w:r w:rsidRPr="000738E6">
              <w:rPr>
                <w:rFonts w:asciiTheme="majorHAnsi" w:hAnsiTheme="majorHAnsi"/>
              </w:rPr>
              <w:t>.0</w:t>
            </w:r>
            <w:r w:rsidR="00D4515F" w:rsidRPr="000738E6">
              <w:rPr>
                <w:rFonts w:asciiTheme="majorHAnsi" w:hAnsiTheme="majorHAnsi"/>
              </w:rPr>
              <w:t>).</w:t>
            </w:r>
          </w:p>
        </w:tc>
      </w:tr>
    </w:tbl>
    <w:p w14:paraId="3C7B6605" w14:textId="77777777" w:rsidR="00B37765" w:rsidRPr="00030E4F" w:rsidRDefault="00B37765" w:rsidP="00912CA6">
      <w:pPr>
        <w:rPr>
          <w:rFonts w:asciiTheme="majorHAnsi" w:hAnsiTheme="majorHAnsi"/>
        </w:rPr>
      </w:pPr>
    </w:p>
    <w:p w14:paraId="6505B478" w14:textId="77777777" w:rsidR="00B37765" w:rsidRPr="00FE5CA9" w:rsidRDefault="00B37765" w:rsidP="00FE5CA9">
      <w:pPr>
        <w:spacing w:after="120"/>
        <w:rPr>
          <w:rFonts w:asciiTheme="majorHAnsi" w:hAnsiTheme="majorHAnsi"/>
          <w:color w:val="0F243E" w:themeColor="text2" w:themeShade="80"/>
          <w:sz w:val="28"/>
          <w:szCs w:val="28"/>
        </w:rPr>
      </w:pPr>
      <w:r w:rsidRPr="00FE5CA9">
        <w:rPr>
          <w:rFonts w:asciiTheme="majorHAnsi" w:hAnsiTheme="majorHAnsi"/>
          <w:color w:val="0F243E" w:themeColor="text2" w:themeShade="80"/>
          <w:sz w:val="28"/>
          <w:szCs w:val="28"/>
        </w:rPr>
        <w:lastRenderedPageBreak/>
        <w:t xml:space="preserve">Crime and Safety </w:t>
      </w:r>
    </w:p>
    <w:p w14:paraId="26E94A98" w14:textId="77777777" w:rsidR="00B37765" w:rsidRPr="00FE5CA9" w:rsidRDefault="00EE011E" w:rsidP="00FE5CA9">
      <w:pPr>
        <w:spacing w:after="120"/>
        <w:rPr>
          <w:rFonts w:asciiTheme="majorHAnsi" w:hAnsiTheme="majorHAnsi"/>
          <w:b/>
        </w:rPr>
      </w:pPr>
      <w:r w:rsidRPr="00EE011E">
        <w:rPr>
          <w:rFonts w:asciiTheme="majorHAnsi" w:hAnsiTheme="majorHAnsi"/>
          <w:b/>
        </w:rPr>
        <w:t xml:space="preserve">Wyndham </w:t>
      </w:r>
      <w:r w:rsidR="000738E6">
        <w:rPr>
          <w:rFonts w:asciiTheme="majorHAnsi" w:hAnsiTheme="majorHAnsi"/>
          <w:b/>
        </w:rPr>
        <w:t>R</w:t>
      </w:r>
      <w:r w:rsidRPr="00EE011E">
        <w:rPr>
          <w:rFonts w:asciiTheme="majorHAnsi" w:hAnsiTheme="majorHAnsi"/>
          <w:b/>
        </w:rPr>
        <w:t xml:space="preserve">esidents' </w:t>
      </w:r>
      <w:r w:rsidR="000738E6">
        <w:rPr>
          <w:rFonts w:asciiTheme="majorHAnsi" w:hAnsiTheme="majorHAnsi"/>
          <w:b/>
        </w:rPr>
        <w:t>P</w:t>
      </w:r>
      <w:r w:rsidRPr="00EE011E">
        <w:rPr>
          <w:rFonts w:asciiTheme="majorHAnsi" w:hAnsiTheme="majorHAnsi"/>
          <w:b/>
        </w:rPr>
        <w:t xml:space="preserve">erception of </w:t>
      </w:r>
      <w:r w:rsidR="000738E6">
        <w:rPr>
          <w:rFonts w:asciiTheme="majorHAnsi" w:hAnsiTheme="majorHAnsi"/>
          <w:b/>
        </w:rPr>
        <w:t>S</w:t>
      </w:r>
      <w:r w:rsidRPr="00EE011E">
        <w:rPr>
          <w:rFonts w:asciiTheme="majorHAnsi" w:hAnsiTheme="majorHAnsi"/>
          <w:b/>
        </w:rPr>
        <w:t xml:space="preserve">afety in </w:t>
      </w:r>
      <w:r w:rsidR="000738E6">
        <w:rPr>
          <w:rFonts w:asciiTheme="majorHAnsi" w:hAnsiTheme="majorHAnsi"/>
          <w:b/>
        </w:rPr>
        <w:t>P</w:t>
      </w:r>
      <w:r w:rsidRPr="00EE011E">
        <w:rPr>
          <w:rFonts w:asciiTheme="majorHAnsi" w:hAnsiTheme="majorHAnsi"/>
          <w:b/>
        </w:rPr>
        <w:t xml:space="preserve">ublic </w:t>
      </w:r>
      <w:r w:rsidR="000738E6">
        <w:rPr>
          <w:rFonts w:asciiTheme="majorHAnsi" w:hAnsiTheme="majorHAnsi"/>
          <w:b/>
        </w:rPr>
        <w:t>A</w:t>
      </w:r>
      <w:r w:rsidRPr="00EE011E">
        <w:rPr>
          <w:rFonts w:asciiTheme="majorHAnsi" w:hAnsiTheme="majorHAnsi"/>
          <w:b/>
        </w:rPr>
        <w:t xml:space="preserve">reas of Wyndham </w:t>
      </w:r>
      <w:r w:rsidR="000738E6">
        <w:rPr>
          <w:rFonts w:asciiTheme="majorHAnsi" w:hAnsiTheme="majorHAnsi"/>
          <w:b/>
        </w:rPr>
        <w:t>D</w:t>
      </w:r>
      <w:r w:rsidRPr="00EE011E">
        <w:rPr>
          <w:rFonts w:asciiTheme="majorHAnsi" w:hAnsiTheme="majorHAnsi"/>
          <w:b/>
        </w:rPr>
        <w:t xml:space="preserve">uring the </w:t>
      </w:r>
      <w:r w:rsidR="000738E6">
        <w:rPr>
          <w:rFonts w:asciiTheme="majorHAnsi" w:hAnsiTheme="majorHAnsi"/>
          <w:b/>
        </w:rPr>
        <w:t>D</w:t>
      </w:r>
      <w:r w:rsidRPr="00EE011E">
        <w:rPr>
          <w:rFonts w:asciiTheme="majorHAnsi" w:hAnsiTheme="majorHAnsi"/>
          <w:b/>
        </w:rPr>
        <w:t>ay</w:t>
      </w:r>
      <w:r w:rsidR="006D5909">
        <w:rPr>
          <w:rFonts w:asciiTheme="majorHAnsi" w:hAnsiTheme="majorHAnsi"/>
          <w:b/>
        </w:rPr>
        <w:t>, 2014 to 2017</w:t>
      </w:r>
      <w:r w:rsidR="00F90FB6">
        <w:rPr>
          <w:rStyle w:val="FootnoteReference"/>
          <w:rFonts w:asciiTheme="majorHAnsi" w:hAnsiTheme="majorHAnsi"/>
          <w:b/>
        </w:rPr>
        <w:footnoteReference w:id="9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56"/>
        <w:gridCol w:w="2658"/>
      </w:tblGrid>
      <w:tr w:rsidR="00B37765" w:rsidRPr="00030E4F" w14:paraId="761882D1" w14:textId="77777777" w:rsidTr="003A3A7A">
        <w:tc>
          <w:tcPr>
            <w:tcW w:w="6522" w:type="dxa"/>
          </w:tcPr>
          <w:p w14:paraId="5EDF6B61" w14:textId="77777777" w:rsidR="00B37765" w:rsidRPr="00030E4F" w:rsidRDefault="003A3A7A" w:rsidP="00912CA6">
            <w:pPr>
              <w:rPr>
                <w:rFonts w:asciiTheme="majorHAnsi" w:hAnsiTheme="majorHAnsi"/>
              </w:rPr>
            </w:pPr>
            <w:r>
              <w:rPr>
                <w:noProof/>
              </w:rPr>
              <w:drawing>
                <wp:inline distT="0" distB="0" distL="0" distR="0" wp14:anchorId="62CFE8B3" wp14:editId="5D1EF551">
                  <wp:extent cx="4216400" cy="2203258"/>
                  <wp:effectExtent l="0" t="0" r="0" b="6985"/>
                  <wp:docPr id="8" name="Chart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  <w:tc>
          <w:tcPr>
            <w:tcW w:w="2658" w:type="dxa"/>
          </w:tcPr>
          <w:p w14:paraId="3C2750FD" w14:textId="77777777" w:rsidR="00F90FB6" w:rsidRDefault="00F90FB6" w:rsidP="00912CA6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4B5AD134" w14:textId="77777777" w:rsidR="00B37765" w:rsidRPr="000738E6" w:rsidRDefault="00EE011E" w:rsidP="00561567">
            <w:pPr>
              <w:rPr>
                <w:rFonts w:asciiTheme="majorHAnsi" w:hAnsiTheme="majorHAnsi"/>
              </w:rPr>
            </w:pPr>
            <w:r w:rsidRPr="000738E6">
              <w:rPr>
                <w:rFonts w:asciiTheme="majorHAnsi" w:hAnsiTheme="majorHAnsi"/>
              </w:rPr>
              <w:t xml:space="preserve">Wyndham residents’ overall </w:t>
            </w:r>
            <w:r w:rsidR="00561567" w:rsidRPr="000738E6">
              <w:rPr>
                <w:rFonts w:asciiTheme="majorHAnsi" w:hAnsiTheme="majorHAnsi"/>
              </w:rPr>
              <w:t>perception</w:t>
            </w:r>
            <w:r w:rsidRPr="000738E6">
              <w:rPr>
                <w:rFonts w:asciiTheme="majorHAnsi" w:hAnsiTheme="majorHAnsi"/>
              </w:rPr>
              <w:t xml:space="preserve"> of safety in public areas has decreased since 2015. </w:t>
            </w:r>
            <w:r w:rsidR="00A44ECD" w:rsidRPr="000738E6">
              <w:rPr>
                <w:rFonts w:asciiTheme="majorHAnsi" w:hAnsiTheme="majorHAnsi"/>
              </w:rPr>
              <w:t xml:space="preserve"> </w:t>
            </w:r>
            <w:r w:rsidRPr="000738E6">
              <w:rPr>
                <w:rFonts w:asciiTheme="majorHAnsi" w:hAnsiTheme="majorHAnsi"/>
                <w:b/>
              </w:rPr>
              <w:t>In 201</w:t>
            </w:r>
            <w:r w:rsidR="003A3A7A">
              <w:rPr>
                <w:rFonts w:asciiTheme="majorHAnsi" w:hAnsiTheme="majorHAnsi"/>
                <w:b/>
              </w:rPr>
              <w:t>7</w:t>
            </w:r>
            <w:r w:rsidRPr="000738E6">
              <w:rPr>
                <w:rFonts w:asciiTheme="majorHAnsi" w:hAnsiTheme="majorHAnsi"/>
                <w:b/>
              </w:rPr>
              <w:t xml:space="preserve">, residents rated </w:t>
            </w:r>
            <w:r w:rsidR="00561567" w:rsidRPr="000738E6">
              <w:rPr>
                <w:rFonts w:asciiTheme="majorHAnsi" w:hAnsiTheme="majorHAnsi"/>
                <w:b/>
              </w:rPr>
              <w:t xml:space="preserve">public </w:t>
            </w:r>
            <w:r w:rsidRPr="000738E6">
              <w:rPr>
                <w:rFonts w:asciiTheme="majorHAnsi" w:hAnsiTheme="majorHAnsi"/>
                <w:b/>
              </w:rPr>
              <w:t>safety in Wyndham as 7.9</w:t>
            </w:r>
            <w:r w:rsidR="003A3A7A">
              <w:rPr>
                <w:rFonts w:asciiTheme="majorHAnsi" w:hAnsiTheme="majorHAnsi"/>
                <w:b/>
              </w:rPr>
              <w:t>4</w:t>
            </w:r>
            <w:r w:rsidRPr="000738E6">
              <w:rPr>
                <w:rFonts w:asciiTheme="majorHAnsi" w:hAnsiTheme="majorHAnsi"/>
                <w:b/>
              </w:rPr>
              <w:t xml:space="preserve"> out of 10,</w:t>
            </w:r>
            <w:r w:rsidRPr="000738E6">
              <w:rPr>
                <w:rFonts w:asciiTheme="majorHAnsi" w:hAnsiTheme="majorHAnsi"/>
              </w:rPr>
              <w:t xml:space="preserve"> down marginally from 2015 (8.37). </w:t>
            </w:r>
            <w:r w:rsidR="00A44ECD" w:rsidRPr="000738E6">
              <w:rPr>
                <w:rFonts w:asciiTheme="majorHAnsi" w:hAnsiTheme="majorHAnsi"/>
              </w:rPr>
              <w:t xml:space="preserve"> </w:t>
            </w:r>
          </w:p>
        </w:tc>
      </w:tr>
    </w:tbl>
    <w:p w14:paraId="255F7E58" w14:textId="77777777" w:rsidR="00F90FB6" w:rsidRDefault="00F90FB6" w:rsidP="00F90FB6">
      <w:pPr>
        <w:spacing w:after="120"/>
        <w:rPr>
          <w:rFonts w:asciiTheme="majorHAnsi" w:hAnsiTheme="majorHAnsi"/>
          <w:b/>
        </w:rPr>
      </w:pPr>
    </w:p>
    <w:p w14:paraId="5B7EB788" w14:textId="77777777" w:rsidR="00B37765" w:rsidRDefault="00F90FB6" w:rsidP="00D2313B">
      <w:pPr>
        <w:spacing w:after="120"/>
        <w:rPr>
          <w:rFonts w:asciiTheme="majorHAnsi" w:hAnsiTheme="majorHAnsi"/>
          <w:b/>
        </w:rPr>
      </w:pPr>
      <w:r w:rsidRPr="00F90FB6">
        <w:rPr>
          <w:rFonts w:asciiTheme="majorHAnsi" w:hAnsiTheme="majorHAnsi"/>
          <w:b/>
        </w:rPr>
        <w:t xml:space="preserve">Recorded </w:t>
      </w:r>
      <w:r w:rsidR="000738E6">
        <w:rPr>
          <w:rFonts w:asciiTheme="majorHAnsi" w:hAnsiTheme="majorHAnsi"/>
          <w:b/>
        </w:rPr>
        <w:t>I</w:t>
      </w:r>
      <w:r w:rsidRPr="00F90FB6">
        <w:rPr>
          <w:rFonts w:asciiTheme="majorHAnsi" w:hAnsiTheme="majorHAnsi"/>
          <w:b/>
        </w:rPr>
        <w:t xml:space="preserve">ncidents of </w:t>
      </w:r>
      <w:r w:rsidR="000738E6">
        <w:rPr>
          <w:rFonts w:asciiTheme="majorHAnsi" w:hAnsiTheme="majorHAnsi"/>
          <w:b/>
        </w:rPr>
        <w:t>F</w:t>
      </w:r>
      <w:r w:rsidRPr="00F90FB6">
        <w:rPr>
          <w:rFonts w:asciiTheme="majorHAnsi" w:hAnsiTheme="majorHAnsi"/>
          <w:b/>
        </w:rPr>
        <w:t xml:space="preserve">amily </w:t>
      </w:r>
      <w:r w:rsidR="000738E6">
        <w:rPr>
          <w:rFonts w:asciiTheme="majorHAnsi" w:hAnsiTheme="majorHAnsi"/>
          <w:b/>
        </w:rPr>
        <w:t>V</w:t>
      </w:r>
      <w:r w:rsidRPr="00F90FB6">
        <w:rPr>
          <w:rFonts w:asciiTheme="majorHAnsi" w:hAnsiTheme="majorHAnsi"/>
          <w:b/>
        </w:rPr>
        <w:t>iolence</w:t>
      </w:r>
      <w:r w:rsidR="006F40C8">
        <w:rPr>
          <w:rFonts w:asciiTheme="majorHAnsi" w:hAnsiTheme="majorHAnsi"/>
          <w:b/>
        </w:rPr>
        <w:t xml:space="preserve"> in Wyndham</w:t>
      </w:r>
      <w:r w:rsidR="009646F0">
        <w:rPr>
          <w:rFonts w:asciiTheme="majorHAnsi" w:hAnsiTheme="majorHAnsi"/>
          <w:b/>
        </w:rPr>
        <w:t xml:space="preserve"> per 100,00 population</w:t>
      </w:r>
      <w:r>
        <w:rPr>
          <w:rFonts w:asciiTheme="majorHAnsi" w:hAnsiTheme="majorHAnsi"/>
          <w:b/>
        </w:rPr>
        <w:t>, 2016</w:t>
      </w:r>
      <w:r w:rsidR="00FD7772">
        <w:rPr>
          <w:rFonts w:asciiTheme="majorHAnsi" w:hAnsiTheme="majorHAnsi"/>
          <w:b/>
        </w:rPr>
        <w:t>/17</w:t>
      </w:r>
      <w:r>
        <w:rPr>
          <w:rStyle w:val="FootnoteReference"/>
          <w:rFonts w:asciiTheme="majorHAnsi" w:hAnsiTheme="majorHAnsi"/>
          <w:b/>
        </w:rPr>
        <w:footnoteReference w:id="10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14"/>
      </w:tblGrid>
      <w:tr w:rsidR="00C21973" w14:paraId="512484D3" w14:textId="77777777" w:rsidTr="00542CE5">
        <w:tc>
          <w:tcPr>
            <w:tcW w:w="10414" w:type="dxa"/>
          </w:tcPr>
          <w:p w14:paraId="2753B3C6" w14:textId="77777777" w:rsidR="00C21973" w:rsidRPr="000738E6" w:rsidRDefault="00542CE5" w:rsidP="00912CA6">
            <w:pPr>
              <w:rPr>
                <w:rFonts w:asciiTheme="majorHAnsi" w:hAnsiTheme="majorHAnsi"/>
                <w:b/>
              </w:rPr>
            </w:pPr>
            <w:r>
              <w:rPr>
                <w:noProof/>
              </w:rPr>
              <w:drawing>
                <wp:inline distT="0" distB="0" distL="0" distR="0" wp14:anchorId="07B5F98C" wp14:editId="6B333085">
                  <wp:extent cx="6483350" cy="2971800"/>
                  <wp:effectExtent l="0" t="0" r="0" b="0"/>
                  <wp:docPr id="16" name="Chart 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70C215A-BDD7-49A5-AC0A-7FAE26B10AC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  <w:tr w:rsidR="00C21973" w14:paraId="5EA3ADF4" w14:textId="77777777" w:rsidTr="00D2313B">
        <w:tc>
          <w:tcPr>
            <w:tcW w:w="10414" w:type="dxa"/>
          </w:tcPr>
          <w:p w14:paraId="010880F3" w14:textId="77777777" w:rsidR="00D2313B" w:rsidRPr="000738E6" w:rsidRDefault="00C21973" w:rsidP="009F1EDA">
            <w:pPr>
              <w:spacing w:after="0"/>
              <w:rPr>
                <w:rFonts w:asciiTheme="majorHAnsi" w:hAnsiTheme="majorHAnsi"/>
                <w:b/>
              </w:rPr>
            </w:pPr>
            <w:r w:rsidRPr="006119F2">
              <w:rPr>
                <w:rFonts w:asciiTheme="majorHAnsi" w:hAnsiTheme="majorHAnsi"/>
              </w:rPr>
              <w:t>Family violence is a serious issue in Wyndham</w:t>
            </w:r>
            <w:r w:rsidR="003E7507" w:rsidRPr="006119F2">
              <w:rPr>
                <w:rFonts w:asciiTheme="majorHAnsi" w:hAnsiTheme="majorHAnsi"/>
              </w:rPr>
              <w:t xml:space="preserve">. </w:t>
            </w:r>
            <w:r w:rsidR="00690BFA" w:rsidRPr="000738E6">
              <w:rPr>
                <w:rFonts w:asciiTheme="majorHAnsi" w:hAnsiTheme="majorHAnsi"/>
                <w:b/>
              </w:rPr>
              <w:t xml:space="preserve">The </w:t>
            </w:r>
            <w:r w:rsidR="00BE36A2">
              <w:rPr>
                <w:rFonts w:asciiTheme="majorHAnsi" w:hAnsiTheme="majorHAnsi"/>
                <w:b/>
              </w:rPr>
              <w:t xml:space="preserve">family violence incident </w:t>
            </w:r>
            <w:r w:rsidR="000E620D">
              <w:rPr>
                <w:rFonts w:asciiTheme="majorHAnsi" w:hAnsiTheme="majorHAnsi"/>
                <w:b/>
              </w:rPr>
              <w:t>in Wyndham is the lowest of all other growth areas across Greater Melbourne.</w:t>
            </w:r>
            <w:r w:rsidR="00690BFA" w:rsidRPr="000738E6">
              <w:rPr>
                <w:rFonts w:asciiTheme="majorHAnsi" w:hAnsiTheme="majorHAnsi"/>
                <w:b/>
              </w:rPr>
              <w:t xml:space="preserve"> </w:t>
            </w:r>
          </w:p>
          <w:p w14:paraId="3E47AC24" w14:textId="77777777" w:rsidR="00BE36A2" w:rsidRPr="006119F2" w:rsidRDefault="00BE36A2" w:rsidP="00EC17A4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family violence incident rate decreased by 13</w:t>
            </w:r>
            <w:r w:rsidR="00EC17A4">
              <w:rPr>
                <w:rFonts w:asciiTheme="majorHAnsi" w:hAnsiTheme="majorHAnsi"/>
              </w:rPr>
              <w:t xml:space="preserve">.8% between 2015/16 and 2016/17, however in terms of actual number of incidents, Wyndham has recorded the fifth highest of all municipalities in Victoria. </w:t>
            </w:r>
          </w:p>
        </w:tc>
      </w:tr>
    </w:tbl>
    <w:p w14:paraId="48555CE1" w14:textId="77777777" w:rsidR="000738E6" w:rsidRDefault="000738E6" w:rsidP="00912CA6">
      <w:pPr>
        <w:rPr>
          <w:rFonts w:asciiTheme="majorHAnsi" w:hAnsiTheme="majorHAnsi"/>
          <w:b/>
        </w:rPr>
      </w:pPr>
    </w:p>
    <w:p w14:paraId="0DD90B84" w14:textId="77777777" w:rsidR="000738E6" w:rsidRDefault="000738E6" w:rsidP="00912CA6">
      <w:pPr>
        <w:rPr>
          <w:rFonts w:asciiTheme="majorHAnsi" w:hAnsiTheme="majorHAnsi"/>
          <w:b/>
        </w:rPr>
      </w:pPr>
    </w:p>
    <w:p w14:paraId="5A9B9062" w14:textId="77777777" w:rsidR="000738E6" w:rsidRDefault="000738E6" w:rsidP="00912CA6">
      <w:pPr>
        <w:rPr>
          <w:rFonts w:asciiTheme="majorHAnsi" w:hAnsiTheme="majorHAnsi"/>
          <w:b/>
        </w:rPr>
      </w:pPr>
    </w:p>
    <w:p w14:paraId="1CFED9BE" w14:textId="77777777" w:rsidR="00EC17A4" w:rsidRDefault="00EC17A4" w:rsidP="00912CA6">
      <w:pPr>
        <w:rPr>
          <w:rFonts w:asciiTheme="majorHAnsi" w:hAnsiTheme="majorHAnsi"/>
          <w:b/>
        </w:rPr>
      </w:pPr>
    </w:p>
    <w:sectPr w:rsidR="00EC17A4" w:rsidSect="00912CA6">
      <w:footerReference w:type="default" r:id="rId16"/>
      <w:headerReference w:type="first" r:id="rId17"/>
      <w:type w:val="continuous"/>
      <w:pgSz w:w="11900" w:h="16840"/>
      <w:pgMar w:top="1625" w:right="851" w:bottom="851" w:left="851" w:header="510" w:footer="709" w:gutter="0"/>
      <w:cols w:space="45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1738F" w14:textId="77777777" w:rsidR="0083008A" w:rsidRDefault="0083008A" w:rsidP="00D62CF1">
      <w:r>
        <w:separator/>
      </w:r>
    </w:p>
  </w:endnote>
  <w:endnote w:type="continuationSeparator" w:id="0">
    <w:p w14:paraId="099D05BE" w14:textId="77777777" w:rsidR="0083008A" w:rsidRDefault="0083008A" w:rsidP="00D62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LT Std 55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DaxOT-Light">
    <w:panose1 w:val="02010504050101020104"/>
    <w:charset w:val="00"/>
    <w:family w:val="modern"/>
    <w:notTrueType/>
    <w:pitch w:val="variable"/>
    <w:sig w:usb0="800000AF" w:usb1="4000247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F9330" w14:textId="77777777" w:rsidR="0034536F" w:rsidRPr="0034536F" w:rsidRDefault="0034536F" w:rsidP="0034536F">
    <w:pPr>
      <w:pStyle w:val="Footer"/>
      <w:pBdr>
        <w:top w:val="single" w:sz="12" w:space="1" w:color="002C55"/>
      </w:pBdr>
      <w:rPr>
        <w:rFonts w:ascii="DaxOT-Light" w:hAnsi="DaxOT-Light"/>
        <w:color w:val="002C55"/>
        <w:sz w:val="20"/>
      </w:rPr>
    </w:pPr>
    <w:r w:rsidRPr="00CF0D2B">
      <w:rPr>
        <w:rFonts w:ascii="DaxOT-Light" w:hAnsi="DaxOT-Light"/>
        <w:color w:val="002C55"/>
        <w:sz w:val="20"/>
      </w:rPr>
      <w:t>Wyndham City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95528" w14:textId="77777777" w:rsidR="0083008A" w:rsidRDefault="0083008A" w:rsidP="00D62CF1">
      <w:r>
        <w:separator/>
      </w:r>
    </w:p>
  </w:footnote>
  <w:footnote w:type="continuationSeparator" w:id="0">
    <w:p w14:paraId="4E26FFB5" w14:textId="77777777" w:rsidR="0083008A" w:rsidRDefault="0083008A" w:rsidP="00D62CF1">
      <w:r>
        <w:continuationSeparator/>
      </w:r>
    </w:p>
  </w:footnote>
  <w:footnote w:id="1">
    <w:p w14:paraId="57917A4B" w14:textId="77777777" w:rsidR="00F3725B" w:rsidRPr="00F3725B" w:rsidRDefault="00B41072">
      <w:pPr>
        <w:pStyle w:val="FootnoteText"/>
        <w:rPr>
          <w:rFonts w:asciiTheme="majorHAnsi" w:hAnsiTheme="majorHAnsi"/>
          <w:sz w:val="16"/>
          <w:szCs w:val="16"/>
        </w:rPr>
      </w:pPr>
      <w:r w:rsidRPr="00F3725B">
        <w:rPr>
          <w:rStyle w:val="FootnoteReference"/>
          <w:rFonts w:asciiTheme="majorHAnsi" w:hAnsiTheme="majorHAnsi"/>
          <w:sz w:val="16"/>
          <w:szCs w:val="16"/>
        </w:rPr>
        <w:footnoteRef/>
      </w:r>
      <w:r w:rsidRPr="00F3725B">
        <w:rPr>
          <w:rFonts w:asciiTheme="majorHAnsi" w:hAnsiTheme="majorHAnsi"/>
          <w:sz w:val="16"/>
          <w:szCs w:val="16"/>
        </w:rPr>
        <w:t xml:space="preserve"> Wyndham City Council. (2013 to 201</w:t>
      </w:r>
      <w:r w:rsidR="006D5909">
        <w:rPr>
          <w:rFonts w:asciiTheme="majorHAnsi" w:hAnsiTheme="majorHAnsi"/>
          <w:sz w:val="16"/>
          <w:szCs w:val="16"/>
        </w:rPr>
        <w:t>7</w:t>
      </w:r>
      <w:r w:rsidRPr="00F3725B">
        <w:rPr>
          <w:rFonts w:asciiTheme="majorHAnsi" w:hAnsiTheme="majorHAnsi"/>
          <w:sz w:val="16"/>
          <w:szCs w:val="16"/>
        </w:rPr>
        <w:t xml:space="preserve">). Annual </w:t>
      </w:r>
      <w:r w:rsidR="001C5EA2">
        <w:rPr>
          <w:rFonts w:asciiTheme="majorHAnsi" w:hAnsiTheme="majorHAnsi"/>
          <w:sz w:val="16"/>
          <w:szCs w:val="16"/>
        </w:rPr>
        <w:t>c</w:t>
      </w:r>
      <w:r w:rsidRPr="00F3725B">
        <w:rPr>
          <w:rFonts w:asciiTheme="majorHAnsi" w:hAnsiTheme="majorHAnsi"/>
          <w:sz w:val="16"/>
          <w:szCs w:val="16"/>
        </w:rPr>
        <w:t xml:space="preserve">ommunity </w:t>
      </w:r>
      <w:r w:rsidR="001C5EA2">
        <w:rPr>
          <w:rFonts w:asciiTheme="majorHAnsi" w:hAnsiTheme="majorHAnsi"/>
          <w:sz w:val="16"/>
          <w:szCs w:val="16"/>
        </w:rPr>
        <w:t>s</w:t>
      </w:r>
      <w:r w:rsidR="00BC0F70">
        <w:rPr>
          <w:rFonts w:asciiTheme="majorHAnsi" w:hAnsiTheme="majorHAnsi"/>
          <w:sz w:val="16"/>
          <w:szCs w:val="16"/>
        </w:rPr>
        <w:t xml:space="preserve">atisfaction </w:t>
      </w:r>
      <w:r w:rsidR="001C5EA2">
        <w:rPr>
          <w:rFonts w:asciiTheme="majorHAnsi" w:hAnsiTheme="majorHAnsi"/>
          <w:sz w:val="16"/>
          <w:szCs w:val="16"/>
        </w:rPr>
        <w:t>s</w:t>
      </w:r>
      <w:r w:rsidR="00BC0F70">
        <w:rPr>
          <w:rFonts w:asciiTheme="majorHAnsi" w:hAnsiTheme="majorHAnsi"/>
          <w:sz w:val="16"/>
          <w:szCs w:val="16"/>
        </w:rPr>
        <w:t>urvey</w:t>
      </w:r>
    </w:p>
  </w:footnote>
  <w:footnote w:id="2">
    <w:p w14:paraId="030D6AD0" w14:textId="77777777" w:rsidR="00F3725B" w:rsidRDefault="00F3725B">
      <w:pPr>
        <w:pStyle w:val="FootnoteText"/>
      </w:pPr>
      <w:r w:rsidRPr="00F3725B">
        <w:rPr>
          <w:rStyle w:val="FootnoteReference"/>
          <w:rFonts w:asciiTheme="majorHAnsi" w:hAnsiTheme="majorHAnsi"/>
          <w:sz w:val="16"/>
          <w:szCs w:val="16"/>
        </w:rPr>
        <w:footnoteRef/>
      </w:r>
      <w:r w:rsidRPr="00F3725B">
        <w:rPr>
          <w:rFonts w:asciiTheme="majorHAnsi" w:hAnsiTheme="majorHAnsi"/>
          <w:sz w:val="16"/>
          <w:szCs w:val="16"/>
        </w:rPr>
        <w:t xml:space="preserve"> </w:t>
      </w:r>
      <w:r w:rsidR="001C5EA2">
        <w:rPr>
          <w:rFonts w:asciiTheme="majorHAnsi" w:hAnsiTheme="majorHAnsi"/>
          <w:sz w:val="16"/>
          <w:szCs w:val="16"/>
        </w:rPr>
        <w:t>Department of Health. (2014). Victorian Population Health Survey: Modifiable risk factors contributing to chronic disease in Victoria</w:t>
      </w:r>
    </w:p>
  </w:footnote>
  <w:footnote w:id="3">
    <w:p w14:paraId="34C75FB1" w14:textId="77777777" w:rsidR="001C1D85" w:rsidRPr="00FC18EB" w:rsidRDefault="001C1D85">
      <w:pPr>
        <w:pStyle w:val="FootnoteText"/>
        <w:rPr>
          <w:rFonts w:asciiTheme="majorHAnsi" w:hAnsiTheme="majorHAnsi"/>
          <w:sz w:val="16"/>
          <w:szCs w:val="16"/>
        </w:rPr>
      </w:pPr>
      <w:r w:rsidRPr="00FC18EB">
        <w:rPr>
          <w:rStyle w:val="FootnoteReference"/>
          <w:rFonts w:asciiTheme="majorHAnsi" w:hAnsiTheme="majorHAnsi"/>
          <w:sz w:val="16"/>
          <w:szCs w:val="16"/>
        </w:rPr>
        <w:footnoteRef/>
      </w:r>
      <w:r w:rsidRPr="00FC18EB">
        <w:rPr>
          <w:rFonts w:asciiTheme="majorHAnsi" w:hAnsiTheme="majorHAnsi"/>
          <w:sz w:val="16"/>
          <w:szCs w:val="16"/>
        </w:rPr>
        <w:t xml:space="preserve"> </w:t>
      </w:r>
      <w:r w:rsidR="00E96D60" w:rsidRPr="00FC18EB">
        <w:rPr>
          <w:rFonts w:asciiTheme="majorHAnsi" w:hAnsiTheme="majorHAnsi"/>
          <w:sz w:val="16"/>
          <w:szCs w:val="16"/>
        </w:rPr>
        <w:t>Department of</w:t>
      </w:r>
      <w:r w:rsidRPr="00FC18EB">
        <w:rPr>
          <w:rFonts w:asciiTheme="majorHAnsi" w:hAnsiTheme="majorHAnsi"/>
          <w:sz w:val="16"/>
          <w:szCs w:val="16"/>
        </w:rPr>
        <w:t xml:space="preserve"> Health and Human Services. (2014)</w:t>
      </w:r>
      <w:r w:rsidRPr="00BC0F70">
        <w:rPr>
          <w:rFonts w:asciiTheme="majorHAnsi" w:hAnsiTheme="majorHAnsi"/>
          <w:sz w:val="16"/>
          <w:szCs w:val="16"/>
        </w:rPr>
        <w:t xml:space="preserve">. </w:t>
      </w:r>
      <w:hyperlink r:id="rId1" w:history="1">
        <w:r w:rsidRPr="00BC0F70">
          <w:rPr>
            <w:rStyle w:val="Hyperlink"/>
            <w:rFonts w:asciiTheme="majorHAnsi" w:hAnsiTheme="majorHAnsi"/>
            <w:color w:val="auto"/>
            <w:sz w:val="16"/>
            <w:szCs w:val="16"/>
            <w:u w:val="none"/>
          </w:rPr>
          <w:t>Victorian Population Health Survey: Modifiable risk factors contributing to chronic disease in Victoria.</w:t>
        </w:r>
      </w:hyperlink>
    </w:p>
  </w:footnote>
  <w:footnote w:id="4">
    <w:p w14:paraId="5FAED0A2" w14:textId="77777777" w:rsidR="00FC18EB" w:rsidRDefault="00FC18EB">
      <w:pPr>
        <w:pStyle w:val="FootnoteText"/>
      </w:pPr>
      <w:r w:rsidRPr="00FC18EB">
        <w:rPr>
          <w:rStyle w:val="FootnoteReference"/>
          <w:rFonts w:asciiTheme="majorHAnsi" w:hAnsiTheme="majorHAnsi"/>
          <w:sz w:val="16"/>
          <w:szCs w:val="16"/>
        </w:rPr>
        <w:footnoteRef/>
      </w:r>
      <w:r w:rsidRPr="00FC18EB">
        <w:rPr>
          <w:rFonts w:asciiTheme="majorHAnsi" w:hAnsiTheme="majorHAnsi"/>
          <w:sz w:val="16"/>
          <w:szCs w:val="16"/>
        </w:rPr>
        <w:t xml:space="preserve"> Department of Health - Australian Childhood Immunisation Registry (ACIR). (2010 to 2015). Immunisations. Retrieved from the </w:t>
      </w:r>
      <w:r w:rsidRPr="00F57407">
        <w:rPr>
          <w:rFonts w:asciiTheme="majorHAnsi" w:hAnsiTheme="majorHAnsi"/>
          <w:sz w:val="16"/>
          <w:szCs w:val="16"/>
        </w:rPr>
        <w:t>Victorian Child and Adolescent Monitoring System,</w:t>
      </w:r>
      <w:r>
        <w:t xml:space="preserve"> </w:t>
      </w:r>
    </w:p>
  </w:footnote>
  <w:footnote w:id="5">
    <w:p w14:paraId="5086C4B2" w14:textId="77777777" w:rsidR="00282417" w:rsidRDefault="0028241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6D5909">
        <w:rPr>
          <w:rFonts w:asciiTheme="majorHAnsi" w:hAnsiTheme="majorHAnsi"/>
          <w:sz w:val="16"/>
          <w:szCs w:val="16"/>
        </w:rPr>
        <w:t xml:space="preserve">Department </w:t>
      </w:r>
      <w:r w:rsidRPr="00FC18EB">
        <w:rPr>
          <w:rFonts w:asciiTheme="majorHAnsi" w:hAnsiTheme="majorHAnsi"/>
          <w:sz w:val="16"/>
          <w:szCs w:val="16"/>
        </w:rPr>
        <w:t xml:space="preserve">of Health and Human Services. (2014). </w:t>
      </w:r>
      <w:r w:rsidRPr="00F57407">
        <w:rPr>
          <w:rFonts w:asciiTheme="majorHAnsi" w:hAnsiTheme="majorHAnsi"/>
          <w:sz w:val="16"/>
          <w:szCs w:val="16"/>
        </w:rPr>
        <w:t>Victorian Population Health Survey: Modifiable risk factors contributing to chronic disease in Victoria.</w:t>
      </w:r>
    </w:p>
  </w:footnote>
  <w:footnote w:id="6">
    <w:p w14:paraId="5D34C571" w14:textId="77777777" w:rsidR="00282417" w:rsidRPr="00FE5CA9" w:rsidRDefault="00282417">
      <w:pPr>
        <w:pStyle w:val="FootnoteText"/>
        <w:rPr>
          <w:rFonts w:asciiTheme="majorHAnsi" w:hAnsiTheme="majorHAnsi"/>
          <w:sz w:val="16"/>
          <w:szCs w:val="16"/>
        </w:rPr>
      </w:pPr>
      <w:r w:rsidRPr="00FE5CA9">
        <w:rPr>
          <w:rStyle w:val="FootnoteReference"/>
          <w:rFonts w:asciiTheme="majorHAnsi" w:hAnsiTheme="majorHAnsi"/>
          <w:sz w:val="16"/>
          <w:szCs w:val="16"/>
        </w:rPr>
        <w:footnoteRef/>
      </w:r>
      <w:r w:rsidRPr="00FE5CA9">
        <w:rPr>
          <w:rFonts w:asciiTheme="majorHAnsi" w:hAnsiTheme="majorHAnsi"/>
          <w:sz w:val="16"/>
          <w:szCs w:val="16"/>
        </w:rPr>
        <w:t xml:space="preserve"> Department of Health and Human Services. (2014). </w:t>
      </w:r>
      <w:r w:rsidRPr="00F57407">
        <w:rPr>
          <w:rFonts w:asciiTheme="majorHAnsi" w:hAnsiTheme="majorHAnsi"/>
          <w:sz w:val="16"/>
          <w:szCs w:val="16"/>
        </w:rPr>
        <w:t>Victorian Population Health Survey: Modifiable risk factors contributing to chronic disease in Victoria</w:t>
      </w:r>
    </w:p>
  </w:footnote>
  <w:footnote w:id="7">
    <w:p w14:paraId="4C8765A7" w14:textId="77777777" w:rsidR="00FE5CA9" w:rsidRPr="00FE5CA9" w:rsidRDefault="00FE5CA9">
      <w:pPr>
        <w:pStyle w:val="FootnoteText"/>
        <w:rPr>
          <w:rFonts w:asciiTheme="majorHAnsi" w:hAnsiTheme="majorHAnsi"/>
          <w:sz w:val="16"/>
          <w:szCs w:val="16"/>
        </w:rPr>
      </w:pPr>
      <w:r w:rsidRPr="00FE5CA9">
        <w:rPr>
          <w:rStyle w:val="FootnoteReference"/>
          <w:rFonts w:asciiTheme="majorHAnsi" w:hAnsiTheme="majorHAnsi"/>
          <w:sz w:val="16"/>
          <w:szCs w:val="16"/>
        </w:rPr>
        <w:footnoteRef/>
      </w:r>
      <w:r w:rsidRPr="00FE5CA9">
        <w:rPr>
          <w:rFonts w:asciiTheme="majorHAnsi" w:hAnsiTheme="majorHAnsi"/>
          <w:sz w:val="16"/>
          <w:szCs w:val="16"/>
        </w:rPr>
        <w:t xml:space="preserve"> Ibid</w:t>
      </w:r>
    </w:p>
  </w:footnote>
  <w:footnote w:id="8">
    <w:p w14:paraId="01539D33" w14:textId="77777777" w:rsidR="00FE5CA9" w:rsidRDefault="00FE5CA9">
      <w:pPr>
        <w:pStyle w:val="FootnoteText"/>
      </w:pPr>
      <w:r w:rsidRPr="00FE5CA9">
        <w:rPr>
          <w:rStyle w:val="FootnoteReference"/>
          <w:rFonts w:asciiTheme="majorHAnsi" w:hAnsiTheme="majorHAnsi"/>
          <w:sz w:val="16"/>
          <w:szCs w:val="16"/>
        </w:rPr>
        <w:footnoteRef/>
      </w:r>
      <w:r w:rsidRPr="00FE5CA9">
        <w:rPr>
          <w:rFonts w:asciiTheme="majorHAnsi" w:hAnsiTheme="majorHAnsi"/>
          <w:sz w:val="16"/>
          <w:szCs w:val="16"/>
        </w:rPr>
        <w:t xml:space="preserve"> Victorian Responsible Gambling Foundation. (2015-16). </w:t>
      </w:r>
      <w:r w:rsidRPr="00F57407">
        <w:rPr>
          <w:rFonts w:asciiTheme="majorHAnsi" w:hAnsiTheme="majorHAnsi"/>
          <w:sz w:val="16"/>
          <w:szCs w:val="16"/>
        </w:rPr>
        <w:t>Pokies in your local government area</w:t>
      </w:r>
    </w:p>
  </w:footnote>
  <w:footnote w:id="9">
    <w:p w14:paraId="7FC265B8" w14:textId="77777777" w:rsidR="00F90FB6" w:rsidRPr="001D56E9" w:rsidRDefault="00F90FB6">
      <w:pPr>
        <w:pStyle w:val="FootnoteText"/>
        <w:rPr>
          <w:rFonts w:asciiTheme="majorHAnsi" w:hAnsiTheme="majorHAnsi"/>
          <w:sz w:val="16"/>
          <w:szCs w:val="16"/>
        </w:rPr>
      </w:pPr>
      <w:r w:rsidRPr="001D56E9">
        <w:rPr>
          <w:rStyle w:val="FootnoteReference"/>
          <w:rFonts w:asciiTheme="majorHAnsi" w:hAnsiTheme="majorHAnsi"/>
          <w:sz w:val="16"/>
          <w:szCs w:val="16"/>
        </w:rPr>
        <w:footnoteRef/>
      </w:r>
      <w:r w:rsidRPr="001D56E9">
        <w:rPr>
          <w:rFonts w:asciiTheme="majorHAnsi" w:hAnsiTheme="majorHAnsi"/>
          <w:sz w:val="16"/>
          <w:szCs w:val="16"/>
        </w:rPr>
        <w:t xml:space="preserve"> </w:t>
      </w:r>
      <w:r w:rsidR="00892E53">
        <w:rPr>
          <w:rFonts w:asciiTheme="majorHAnsi" w:hAnsiTheme="majorHAnsi"/>
          <w:sz w:val="16"/>
          <w:szCs w:val="16"/>
        </w:rPr>
        <w:t>Wyndham City Council. (2014 to 201</w:t>
      </w:r>
      <w:r w:rsidR="0070430E">
        <w:rPr>
          <w:rFonts w:asciiTheme="majorHAnsi" w:hAnsiTheme="majorHAnsi"/>
          <w:sz w:val="16"/>
          <w:szCs w:val="16"/>
        </w:rPr>
        <w:t>7</w:t>
      </w:r>
      <w:r w:rsidR="00892E53">
        <w:rPr>
          <w:rFonts w:asciiTheme="majorHAnsi" w:hAnsiTheme="majorHAnsi"/>
          <w:sz w:val="16"/>
          <w:szCs w:val="16"/>
        </w:rPr>
        <w:t xml:space="preserve">). Annual </w:t>
      </w:r>
      <w:r w:rsidR="000738E6">
        <w:rPr>
          <w:rFonts w:asciiTheme="majorHAnsi" w:hAnsiTheme="majorHAnsi"/>
          <w:sz w:val="16"/>
          <w:szCs w:val="16"/>
        </w:rPr>
        <w:t>c</w:t>
      </w:r>
      <w:r w:rsidR="00892E53">
        <w:rPr>
          <w:rFonts w:asciiTheme="majorHAnsi" w:hAnsiTheme="majorHAnsi"/>
          <w:sz w:val="16"/>
          <w:szCs w:val="16"/>
        </w:rPr>
        <w:t xml:space="preserve">ommunity </w:t>
      </w:r>
      <w:r w:rsidR="000738E6">
        <w:rPr>
          <w:rFonts w:asciiTheme="majorHAnsi" w:hAnsiTheme="majorHAnsi"/>
          <w:sz w:val="16"/>
          <w:szCs w:val="16"/>
        </w:rPr>
        <w:t>s</w:t>
      </w:r>
      <w:r w:rsidR="00892E53">
        <w:rPr>
          <w:rFonts w:asciiTheme="majorHAnsi" w:hAnsiTheme="majorHAnsi"/>
          <w:sz w:val="16"/>
          <w:szCs w:val="16"/>
        </w:rPr>
        <w:t xml:space="preserve">atisfaction </w:t>
      </w:r>
      <w:r w:rsidR="000738E6">
        <w:rPr>
          <w:rFonts w:asciiTheme="majorHAnsi" w:hAnsiTheme="majorHAnsi"/>
          <w:sz w:val="16"/>
          <w:szCs w:val="16"/>
        </w:rPr>
        <w:t>s</w:t>
      </w:r>
      <w:r w:rsidR="00892E53">
        <w:rPr>
          <w:rFonts w:asciiTheme="majorHAnsi" w:hAnsiTheme="majorHAnsi"/>
          <w:sz w:val="16"/>
          <w:szCs w:val="16"/>
        </w:rPr>
        <w:t>urvey</w:t>
      </w:r>
    </w:p>
  </w:footnote>
  <w:footnote w:id="10">
    <w:p w14:paraId="5FC54CE3" w14:textId="77777777" w:rsidR="00F90FB6" w:rsidRDefault="00F90FB6">
      <w:pPr>
        <w:pStyle w:val="FootnoteText"/>
      </w:pPr>
      <w:r w:rsidRPr="00F90FB6">
        <w:rPr>
          <w:rStyle w:val="FootnoteReference"/>
          <w:rFonts w:asciiTheme="majorHAnsi" w:hAnsiTheme="majorHAnsi"/>
          <w:sz w:val="16"/>
          <w:szCs w:val="16"/>
        </w:rPr>
        <w:footnoteRef/>
      </w:r>
      <w:r w:rsidRPr="00F90FB6">
        <w:rPr>
          <w:rFonts w:asciiTheme="majorHAnsi" w:hAnsiTheme="majorHAnsi"/>
          <w:sz w:val="16"/>
          <w:szCs w:val="16"/>
        </w:rPr>
        <w:t xml:space="preserve"> Crime Statistics Agency. (</w:t>
      </w:r>
      <w:r w:rsidR="00FD7772">
        <w:rPr>
          <w:rFonts w:asciiTheme="majorHAnsi" w:hAnsiTheme="majorHAnsi"/>
          <w:sz w:val="16"/>
          <w:szCs w:val="16"/>
        </w:rPr>
        <w:t>2016/17</w:t>
      </w:r>
      <w:r w:rsidRPr="00F90FB6">
        <w:rPr>
          <w:rFonts w:asciiTheme="majorHAnsi" w:hAnsiTheme="majorHAnsi"/>
          <w:sz w:val="16"/>
          <w:szCs w:val="16"/>
        </w:rPr>
        <w:t xml:space="preserve">). </w:t>
      </w:r>
      <w:r w:rsidRPr="006769BD">
        <w:rPr>
          <w:rFonts w:asciiTheme="majorHAnsi" w:hAnsiTheme="majorHAnsi"/>
          <w:sz w:val="16"/>
          <w:szCs w:val="16"/>
        </w:rPr>
        <w:t>Family incidents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07193" w14:textId="77777777" w:rsidR="00FC0DE6" w:rsidRPr="00D62CF1" w:rsidRDefault="00FC0DE6" w:rsidP="00D62CF1"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3C4137C9" wp14:editId="2D05EE3E">
          <wp:simplePos x="0" y="0"/>
          <wp:positionH relativeFrom="column">
            <wp:posOffset>-534670</wp:posOffset>
          </wp:positionH>
          <wp:positionV relativeFrom="paragraph">
            <wp:posOffset>-331190</wp:posOffset>
          </wp:positionV>
          <wp:extent cx="7562850" cy="3243532"/>
          <wp:effectExtent l="0" t="0" r="0" b="0"/>
          <wp:wrapNone/>
          <wp:docPr id="1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671"/>
                  <a:stretch/>
                </pic:blipFill>
                <pic:spPr bwMode="auto">
                  <a:xfrm>
                    <a:off x="0" y="0"/>
                    <a:ext cx="7562850" cy="324353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>
      <o:colormru v:ext="edit" colors="#f3f4f8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A6"/>
    <w:rsid w:val="00030E4F"/>
    <w:rsid w:val="00030F06"/>
    <w:rsid w:val="0004478A"/>
    <w:rsid w:val="00065312"/>
    <w:rsid w:val="00066BC8"/>
    <w:rsid w:val="000738E6"/>
    <w:rsid w:val="000D338F"/>
    <w:rsid w:val="000E4083"/>
    <w:rsid w:val="000E4CD9"/>
    <w:rsid w:val="000E620D"/>
    <w:rsid w:val="000F5687"/>
    <w:rsid w:val="0010335E"/>
    <w:rsid w:val="00106C16"/>
    <w:rsid w:val="0016309E"/>
    <w:rsid w:val="001B5898"/>
    <w:rsid w:val="001C1D85"/>
    <w:rsid w:val="001C5EA2"/>
    <w:rsid w:val="001D56E9"/>
    <w:rsid w:val="00220144"/>
    <w:rsid w:val="00254715"/>
    <w:rsid w:val="00277431"/>
    <w:rsid w:val="00282417"/>
    <w:rsid w:val="002E38EA"/>
    <w:rsid w:val="002E43CA"/>
    <w:rsid w:val="00304B1C"/>
    <w:rsid w:val="0034536F"/>
    <w:rsid w:val="00367DD8"/>
    <w:rsid w:val="00386175"/>
    <w:rsid w:val="003A3A7A"/>
    <w:rsid w:val="003C0E22"/>
    <w:rsid w:val="003E2167"/>
    <w:rsid w:val="003E7507"/>
    <w:rsid w:val="004141EE"/>
    <w:rsid w:val="004160D1"/>
    <w:rsid w:val="0041664F"/>
    <w:rsid w:val="00430DB0"/>
    <w:rsid w:val="00451BB3"/>
    <w:rsid w:val="004A31FF"/>
    <w:rsid w:val="004C227A"/>
    <w:rsid w:val="00540395"/>
    <w:rsid w:val="00542CE5"/>
    <w:rsid w:val="00552202"/>
    <w:rsid w:val="00561567"/>
    <w:rsid w:val="005720A0"/>
    <w:rsid w:val="005B752A"/>
    <w:rsid w:val="006119F2"/>
    <w:rsid w:val="00617441"/>
    <w:rsid w:val="006357F8"/>
    <w:rsid w:val="0065140C"/>
    <w:rsid w:val="00655026"/>
    <w:rsid w:val="0065651F"/>
    <w:rsid w:val="00670C3A"/>
    <w:rsid w:val="00670D22"/>
    <w:rsid w:val="00671C99"/>
    <w:rsid w:val="006769BD"/>
    <w:rsid w:val="00690BFA"/>
    <w:rsid w:val="006A524B"/>
    <w:rsid w:val="006A5937"/>
    <w:rsid w:val="006A62D9"/>
    <w:rsid w:val="006D04D4"/>
    <w:rsid w:val="006D5909"/>
    <w:rsid w:val="006E142A"/>
    <w:rsid w:val="006F32E8"/>
    <w:rsid w:val="006F40C8"/>
    <w:rsid w:val="006F53C9"/>
    <w:rsid w:val="0070430E"/>
    <w:rsid w:val="00710086"/>
    <w:rsid w:val="00745391"/>
    <w:rsid w:val="00756E24"/>
    <w:rsid w:val="00773327"/>
    <w:rsid w:val="007B2BEF"/>
    <w:rsid w:val="007B4D35"/>
    <w:rsid w:val="007D5C2B"/>
    <w:rsid w:val="007E1360"/>
    <w:rsid w:val="007F500D"/>
    <w:rsid w:val="007F7E71"/>
    <w:rsid w:val="0083008A"/>
    <w:rsid w:val="00831144"/>
    <w:rsid w:val="008343E1"/>
    <w:rsid w:val="00846689"/>
    <w:rsid w:val="008717AD"/>
    <w:rsid w:val="008822A3"/>
    <w:rsid w:val="0088578E"/>
    <w:rsid w:val="00892175"/>
    <w:rsid w:val="00892E53"/>
    <w:rsid w:val="00893A96"/>
    <w:rsid w:val="00894817"/>
    <w:rsid w:val="008E7FB6"/>
    <w:rsid w:val="00912CA6"/>
    <w:rsid w:val="00951D17"/>
    <w:rsid w:val="009646F0"/>
    <w:rsid w:val="00996DAF"/>
    <w:rsid w:val="009A22C0"/>
    <w:rsid w:val="009E295A"/>
    <w:rsid w:val="009E532C"/>
    <w:rsid w:val="009F1EDA"/>
    <w:rsid w:val="00A33AA3"/>
    <w:rsid w:val="00A41C25"/>
    <w:rsid w:val="00A44ECD"/>
    <w:rsid w:val="00A54749"/>
    <w:rsid w:val="00A67EE5"/>
    <w:rsid w:val="00AE7553"/>
    <w:rsid w:val="00B16F22"/>
    <w:rsid w:val="00B37765"/>
    <w:rsid w:val="00B41072"/>
    <w:rsid w:val="00B56122"/>
    <w:rsid w:val="00BA7AB7"/>
    <w:rsid w:val="00BB0AEE"/>
    <w:rsid w:val="00BB6A5D"/>
    <w:rsid w:val="00BC0F70"/>
    <w:rsid w:val="00BD1367"/>
    <w:rsid w:val="00BE36A2"/>
    <w:rsid w:val="00C21973"/>
    <w:rsid w:val="00C723DB"/>
    <w:rsid w:val="00C73934"/>
    <w:rsid w:val="00CA6B15"/>
    <w:rsid w:val="00D153F5"/>
    <w:rsid w:val="00D20EC3"/>
    <w:rsid w:val="00D2313B"/>
    <w:rsid w:val="00D4515F"/>
    <w:rsid w:val="00D62CF1"/>
    <w:rsid w:val="00DD6491"/>
    <w:rsid w:val="00DF0D56"/>
    <w:rsid w:val="00E16808"/>
    <w:rsid w:val="00E3694A"/>
    <w:rsid w:val="00E60950"/>
    <w:rsid w:val="00E61322"/>
    <w:rsid w:val="00E62FDC"/>
    <w:rsid w:val="00E96D60"/>
    <w:rsid w:val="00EB1FEB"/>
    <w:rsid w:val="00EC17A4"/>
    <w:rsid w:val="00EE011E"/>
    <w:rsid w:val="00F34EFF"/>
    <w:rsid w:val="00F3725B"/>
    <w:rsid w:val="00F4181E"/>
    <w:rsid w:val="00F57407"/>
    <w:rsid w:val="00F82156"/>
    <w:rsid w:val="00F90FB6"/>
    <w:rsid w:val="00FB5405"/>
    <w:rsid w:val="00FB6E7F"/>
    <w:rsid w:val="00FC0DE6"/>
    <w:rsid w:val="00FC18EB"/>
    <w:rsid w:val="00FD7772"/>
    <w:rsid w:val="00FE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ru v:ext="edit" colors="#f3f4f8"/>
    </o:shapedefaults>
    <o:shapelayout v:ext="edit">
      <o:idmap v:ext="edit" data="1"/>
    </o:shapelayout>
  </w:shapeDefaults>
  <w:decimalSymbol w:val="."/>
  <w:listSeparator w:val=","/>
  <w14:docId w14:val="6EFE7FB4"/>
  <w14:defaultImageDpi w14:val="300"/>
  <w15:docId w15:val="{1DBD86C2-A463-4A2D-A49D-515903481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="MS Mincho" w:hAnsi="Helvetica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2CA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CF1"/>
    <w:pPr>
      <w:tabs>
        <w:tab w:val="center" w:pos="4320"/>
        <w:tab w:val="right" w:pos="8640"/>
      </w:tabs>
      <w:spacing w:after="0" w:line="240" w:lineRule="auto"/>
    </w:pPr>
    <w:rPr>
      <w:rFonts w:ascii="Helvetica" w:eastAsia="MS Mincho" w:hAnsi="Helvetica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62CF1"/>
  </w:style>
  <w:style w:type="paragraph" w:styleId="Footer">
    <w:name w:val="footer"/>
    <w:basedOn w:val="Normal"/>
    <w:link w:val="FooterChar"/>
    <w:uiPriority w:val="99"/>
    <w:unhideWhenUsed/>
    <w:rsid w:val="00D62CF1"/>
    <w:pPr>
      <w:tabs>
        <w:tab w:val="center" w:pos="4320"/>
        <w:tab w:val="right" w:pos="8640"/>
      </w:tabs>
      <w:spacing w:after="0" w:line="240" w:lineRule="auto"/>
    </w:pPr>
    <w:rPr>
      <w:rFonts w:ascii="Helvetica" w:eastAsia="MS Mincho" w:hAnsi="Helvetica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62CF1"/>
  </w:style>
  <w:style w:type="paragraph" w:styleId="BalloonText">
    <w:name w:val="Balloon Text"/>
    <w:basedOn w:val="Normal"/>
    <w:link w:val="BalloonTextChar"/>
    <w:uiPriority w:val="99"/>
    <w:semiHidden/>
    <w:unhideWhenUsed/>
    <w:rsid w:val="00D62C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62CF1"/>
    <w:rPr>
      <w:rFonts w:ascii="Lucida Grande" w:hAnsi="Lucida Grande" w:cs="Lucida Grande"/>
      <w:sz w:val="18"/>
      <w:szCs w:val="18"/>
    </w:rPr>
  </w:style>
  <w:style w:type="paragraph" w:customStyle="1" w:styleId="IntroPara01">
    <w:name w:val="_IntroPara01"/>
    <w:next w:val="Body01"/>
    <w:qFormat/>
    <w:rsid w:val="0010335E"/>
    <w:pPr>
      <w:spacing w:after="170"/>
    </w:pPr>
    <w:rPr>
      <w:rFonts w:ascii="Calibri" w:hAnsi="Calibri"/>
      <w:caps/>
      <w:sz w:val="28"/>
      <w:szCs w:val="28"/>
      <w:lang w:val="en-US"/>
    </w:rPr>
  </w:style>
  <w:style w:type="paragraph" w:customStyle="1" w:styleId="Header02">
    <w:name w:val="_Header02"/>
    <w:next w:val="IntroPara01"/>
    <w:qFormat/>
    <w:rsid w:val="006F32E8"/>
    <w:pPr>
      <w:spacing w:before="284" w:after="170"/>
    </w:pPr>
    <w:rPr>
      <w:rFonts w:ascii="Calibri" w:hAnsi="Calibri"/>
      <w:noProof/>
      <w:color w:val="25416B"/>
      <w:sz w:val="72"/>
      <w:szCs w:val="96"/>
      <w:lang w:val="en-US"/>
    </w:rPr>
  </w:style>
  <w:style w:type="paragraph" w:customStyle="1" w:styleId="Header03">
    <w:name w:val="_Header03"/>
    <w:next w:val="Body01"/>
    <w:qFormat/>
    <w:rsid w:val="006F32E8"/>
    <w:pPr>
      <w:spacing w:after="170"/>
    </w:pPr>
    <w:rPr>
      <w:rFonts w:ascii="Calibri" w:hAnsi="Calibri"/>
      <w:color w:val="25416B"/>
      <w:sz w:val="36"/>
      <w:szCs w:val="36"/>
      <w:lang w:val="en-GB"/>
    </w:rPr>
  </w:style>
  <w:style w:type="paragraph" w:customStyle="1" w:styleId="Header01">
    <w:name w:val="_Header01"/>
    <w:next w:val="IntroPara01"/>
    <w:qFormat/>
    <w:rsid w:val="004141EE"/>
    <w:pPr>
      <w:spacing w:after="113"/>
    </w:pPr>
    <w:rPr>
      <w:rFonts w:ascii="Calibri" w:hAnsi="Calibri"/>
      <w:color w:val="25416B"/>
      <w:sz w:val="96"/>
      <w:szCs w:val="96"/>
      <w:lang w:val="en-US"/>
    </w:rPr>
  </w:style>
  <w:style w:type="paragraph" w:customStyle="1" w:styleId="Body01">
    <w:name w:val="_Body01"/>
    <w:qFormat/>
    <w:rsid w:val="006F32E8"/>
    <w:pPr>
      <w:spacing w:after="113"/>
    </w:pPr>
    <w:rPr>
      <w:rFonts w:ascii="Calibri" w:hAnsi="Calibri"/>
      <w:lang w:val="en-US"/>
    </w:rPr>
  </w:style>
  <w:style w:type="paragraph" w:customStyle="1" w:styleId="LetterBody">
    <w:name w:val="Letter Body"/>
    <w:rsid w:val="00912CA6"/>
    <w:rPr>
      <w:rFonts w:ascii="Univers LT Std 55" w:eastAsia="ヒラギノ角ゴ Pro W3" w:hAnsi="Univers LT Std 55"/>
      <w:color w:val="394349"/>
      <w:sz w:val="18"/>
      <w:lang w:val="en-US" w:eastAsia="en-AU"/>
    </w:rPr>
  </w:style>
  <w:style w:type="table" w:styleId="TableGrid">
    <w:name w:val="Table Grid"/>
    <w:basedOn w:val="TableNormal"/>
    <w:uiPriority w:val="59"/>
    <w:rsid w:val="00912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410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1072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unhideWhenUsed/>
    <w:rsid w:val="00B4107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4107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18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2.health.vic.gov.au/public-health/population-health-systems/health-status-of-victorians/survey-data-and-reports/victorian-population-health-survey/victorian-population-health-survey-201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ivicfile2\templates2016$\CEO's%20Office\Factsheet%20No%20Images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green\objcache\sgreen\Objects\City%20Plan%20-%20Strategic%20Indicators%20Data%20Worksheet%20(A1856986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civicfile2\redirected$\sgreen\Desktop\Strategic%20Indicators%20Worksheet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civicfile2\redirected$\vkapke\Desktop\Charts%20for%20theme%20data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civicfile2\redirected$\sgreen\Desktop\Strategic%20Indicators%20Worksheet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civicfile2\redirected$\sgreen\Desktop\Strategic%20Indicators%20Worksheet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civicfile2\redirected$\sgreen\Desktop\Strategic%20Indicators%20Worksheet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civicfile2\redirected$\sgreen\Desktop\Strategic%20Indicators%20Worksheet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green\objcache\sgreen\Objects\City%20Plan%20-%20Strategic%20Indicators%20Data%20Worksheet%20(A1856986).xlsx" TargetMode="Externa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green\objcache\sgreen\Objects\City%20Plan%20-%20Strategic%20Indicators%20Data%20Worksheet%20(A1856986)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j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'P&amp;C Worksheet'!$B$8:$F$8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'P&amp;C Worksheet'!$B$9:$F$9</c:f>
              <c:numCache>
                <c:formatCode>General</c:formatCode>
                <c:ptCount val="5"/>
                <c:pt idx="0">
                  <c:v>7.26</c:v>
                </c:pt>
                <c:pt idx="1">
                  <c:v>7.61</c:v>
                </c:pt>
                <c:pt idx="2">
                  <c:v>7.86</c:v>
                </c:pt>
                <c:pt idx="3">
                  <c:v>7.45</c:v>
                </c:pt>
                <c:pt idx="4">
                  <c:v>7.71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462-47F2-B250-8B809D887D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43444248"/>
        <c:axId val="543442280"/>
      </c:lineChart>
      <c:catAx>
        <c:axId val="543444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j-lt"/>
                <a:ea typeface="+mn-ea"/>
                <a:cs typeface="+mn-cs"/>
              </a:defRPr>
            </a:pPr>
            <a:endParaRPr lang="en-US"/>
          </a:p>
        </c:txPr>
        <c:crossAx val="543442280"/>
        <c:crosses val="autoZero"/>
        <c:auto val="1"/>
        <c:lblAlgn val="ctr"/>
        <c:lblOffset val="100"/>
        <c:noMultiLvlLbl val="0"/>
      </c:catAx>
      <c:valAx>
        <c:axId val="543442280"/>
        <c:scaling>
          <c:orientation val="minMax"/>
          <c:min val="7.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j-lt"/>
                    <a:ea typeface="+mn-ea"/>
                    <a:cs typeface="+mn-cs"/>
                  </a:defRPr>
                </a:pPr>
                <a:r>
                  <a:rPr lang="en-AU"/>
                  <a:t>Average Rating (out of 10)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j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j-lt"/>
                <a:ea typeface="+mn-ea"/>
                <a:cs typeface="+mn-cs"/>
              </a:defRPr>
            </a:pPr>
            <a:endParaRPr lang="en-US"/>
          </a:p>
        </c:txPr>
        <c:crossAx val="5434442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+mj-lt"/>
        </a:defRPr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357143369886144"/>
          <c:y val="6.5239167560029593E-2"/>
          <c:w val="0.80488650663974948"/>
          <c:h val="0.62780657462676559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'P&amp;C Worksheet'!$C$27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tx2">
                <a:lumMod val="50000"/>
              </a:schemeClr>
            </a:solidFill>
          </c:spPr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'P&amp;C Worksheet'!$A$28:$A$30</c:f>
              <c:strCache>
                <c:ptCount val="3"/>
                <c:pt idx="0">
                  <c:v>Wyndham </c:v>
                </c:pt>
                <c:pt idx="1">
                  <c:v>North West Metro</c:v>
                </c:pt>
                <c:pt idx="2">
                  <c:v>Victoria</c:v>
                </c:pt>
              </c:strCache>
            </c:strRef>
          </c:cat>
          <c:val>
            <c:numRef>
              <c:f>'P&amp;C Worksheet'!$C$28:$C$30</c:f>
              <c:numCache>
                <c:formatCode>0.00%</c:formatCode>
                <c:ptCount val="3"/>
                <c:pt idx="0">
                  <c:v>0.35199999999999998</c:v>
                </c:pt>
                <c:pt idx="1">
                  <c:v>0.39</c:v>
                </c:pt>
                <c:pt idx="2">
                  <c:v>0.41399999999999998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2C4-4092-B54F-03EAFC82B1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5885056"/>
        <c:axId val="105895040"/>
      </c:barChart>
      <c:catAx>
        <c:axId val="1058850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5895040"/>
        <c:crosses val="autoZero"/>
        <c:auto val="1"/>
        <c:lblAlgn val="ctr"/>
        <c:lblOffset val="100"/>
        <c:noMultiLvlLbl val="0"/>
      </c:catAx>
      <c:valAx>
        <c:axId val="105895040"/>
        <c:scaling>
          <c:orientation val="minMax"/>
        </c:scaling>
        <c:delete val="0"/>
        <c:axPos val="l"/>
        <c:majorGridlines/>
        <c:numFmt formatCode="0.0%" sourceLinked="0"/>
        <c:majorTickMark val="out"/>
        <c:minorTickMark val="none"/>
        <c:tickLblPos val="nextTo"/>
        <c:crossAx val="10588505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b="0">
          <a:latin typeface="+mj-lt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Sheet1!$A$128</c:f>
              <c:strCache>
                <c:ptCount val="1"/>
                <c:pt idx="0">
                  <c:v>Wyndham</c:v>
                </c:pt>
              </c:strCache>
            </c:strRef>
          </c:tx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Sheet1!$B$127:$D$127</c:f>
              <c:strCache>
                <c:ptCount val="3"/>
                <c:pt idx="0">
                  <c:v>12-15 months </c:v>
                </c:pt>
                <c:pt idx="1">
                  <c:v>24-27 months </c:v>
                </c:pt>
                <c:pt idx="2">
                  <c:v>60-63 months </c:v>
                </c:pt>
              </c:strCache>
            </c:strRef>
          </c:cat>
          <c:val>
            <c:numRef>
              <c:f>Sheet1!$B$128:$D$128</c:f>
              <c:numCache>
                <c:formatCode>0%</c:formatCode>
                <c:ptCount val="3"/>
                <c:pt idx="0">
                  <c:v>0.90700000000000003</c:v>
                </c:pt>
                <c:pt idx="1">
                  <c:v>0.89</c:v>
                </c:pt>
                <c:pt idx="2">
                  <c:v>0.92400000000000004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363-46B6-B499-F6EEE6BD1EAF}"/>
            </c:ext>
          </c:extLst>
        </c:ser>
        <c:ser>
          <c:idx val="1"/>
          <c:order val="1"/>
          <c:tx>
            <c:strRef>
              <c:f>Sheet1!$A$129</c:f>
              <c:strCache>
                <c:ptCount val="1"/>
                <c:pt idx="0">
                  <c:v>Victoria</c:v>
                </c:pt>
              </c:strCache>
            </c:strRef>
          </c:tx>
          <c:spPr>
            <a:solidFill>
              <a:schemeClr val="tx2">
                <a:lumMod val="5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1.859903387538208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363-46B6-B499-F6EEE6BD1EAF}"/>
                </c:ext>
              </c:extLst>
            </c:dLbl>
            <c:dLbl>
              <c:idx val="1"/>
              <c:layout>
                <c:manualLayout>
                  <c:x val="2.1698872854612427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363-46B6-B499-F6EEE6BD1EAF}"/>
                </c:ext>
              </c:extLst>
            </c:dLbl>
            <c:dLbl>
              <c:idx val="2"/>
              <c:layout>
                <c:manualLayout>
                  <c:x val="9.2995169376911529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363-46B6-B499-F6EEE6BD1EAF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Sheet1!$B$127:$D$127</c:f>
              <c:strCache>
                <c:ptCount val="3"/>
                <c:pt idx="0">
                  <c:v>12-15 months </c:v>
                </c:pt>
                <c:pt idx="1">
                  <c:v>24-27 months </c:v>
                </c:pt>
                <c:pt idx="2">
                  <c:v>60-63 months </c:v>
                </c:pt>
              </c:strCache>
            </c:strRef>
          </c:cat>
          <c:val>
            <c:numRef>
              <c:f>Sheet1!$B$129:$D$129</c:f>
              <c:numCache>
                <c:formatCode>0%</c:formatCode>
                <c:ptCount val="3"/>
                <c:pt idx="0">
                  <c:v>0.91200000000000003</c:v>
                </c:pt>
                <c:pt idx="1">
                  <c:v>0.89600000000000002</c:v>
                </c:pt>
                <c:pt idx="2">
                  <c:v>0.92600000000000005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363-46B6-B499-F6EEE6BD1EA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05920768"/>
        <c:axId val="105930752"/>
      </c:barChart>
      <c:catAx>
        <c:axId val="1059207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5930752"/>
        <c:crosses val="autoZero"/>
        <c:auto val="1"/>
        <c:lblAlgn val="ctr"/>
        <c:lblOffset val="100"/>
        <c:noMultiLvlLbl val="0"/>
      </c:catAx>
      <c:valAx>
        <c:axId val="105930752"/>
        <c:scaling>
          <c:orientation val="minMax"/>
          <c:min val="0.5"/>
        </c:scaling>
        <c:delete val="0"/>
        <c:axPos val="l"/>
        <c:majorGridlines/>
        <c:numFmt formatCode=".0%" sourceLinked="0"/>
        <c:majorTickMark val="out"/>
        <c:minorTickMark val="none"/>
        <c:tickLblPos val="nextTo"/>
        <c:crossAx val="10592076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b="0">
          <a:latin typeface="+mj-lt"/>
        </a:defRPr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287814954039503"/>
          <c:y val="7.8632636877402864E-2"/>
          <c:w val="0.72520384433811058"/>
          <c:h val="0.6731170538943794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'P&amp;C Worksheet'!$A$58</c:f>
              <c:strCache>
                <c:ptCount val="1"/>
                <c:pt idx="0">
                  <c:v>Wyndham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'P&amp;C Worksheet'!$D$57</c:f>
              <c:strCache>
                <c:ptCount val="1"/>
                <c:pt idx="0">
                  <c:v>Increase lifetime risk</c:v>
                </c:pt>
              </c:strCache>
            </c:strRef>
          </c:cat>
          <c:val>
            <c:numRef>
              <c:f>'P&amp;C Worksheet'!$D$58</c:f>
              <c:numCache>
                <c:formatCode>0%</c:formatCode>
                <c:ptCount val="1"/>
                <c:pt idx="0">
                  <c:v>0.52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0F1-464B-A28B-CE36A0531AC1}"/>
            </c:ext>
          </c:extLst>
        </c:ser>
        <c:ser>
          <c:idx val="1"/>
          <c:order val="1"/>
          <c:tx>
            <c:strRef>
              <c:f>'P&amp;C Worksheet'!$A$59</c:f>
              <c:strCache>
                <c:ptCount val="1"/>
                <c:pt idx="0">
                  <c:v>North West Metro</c:v>
                </c:pt>
              </c:strCache>
            </c:strRef>
          </c:tx>
          <c:spPr>
            <a:solidFill>
              <a:schemeClr val="tx2">
                <a:lumMod val="20000"/>
                <a:lumOff val="80000"/>
              </a:schemeClr>
            </a:solidFill>
            <a:ln>
              <a:solidFill>
                <a:schemeClr val="accent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'P&amp;C Worksheet'!$D$57</c:f>
              <c:strCache>
                <c:ptCount val="1"/>
                <c:pt idx="0">
                  <c:v>Increase lifetime risk</c:v>
                </c:pt>
              </c:strCache>
            </c:strRef>
          </c:cat>
          <c:val>
            <c:numRef>
              <c:f>'P&amp;C Worksheet'!$D$59</c:f>
              <c:numCache>
                <c:formatCode>0%</c:formatCode>
                <c:ptCount val="1"/>
                <c:pt idx="0">
                  <c:v>0.54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0F1-464B-A28B-CE36A0531AC1}"/>
            </c:ext>
          </c:extLst>
        </c:ser>
        <c:ser>
          <c:idx val="2"/>
          <c:order val="2"/>
          <c:tx>
            <c:strRef>
              <c:f>'P&amp;C Worksheet'!$A$60</c:f>
              <c:strCache>
                <c:ptCount val="1"/>
                <c:pt idx="0">
                  <c:v>Victoria</c:v>
                </c:pt>
              </c:strCache>
            </c:strRef>
          </c:tx>
          <c:spPr>
            <a:solidFill>
              <a:schemeClr val="tx2">
                <a:lumMod val="5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'P&amp;C Worksheet'!$D$57</c:f>
              <c:strCache>
                <c:ptCount val="1"/>
                <c:pt idx="0">
                  <c:v>Increase lifetime risk</c:v>
                </c:pt>
              </c:strCache>
            </c:strRef>
          </c:cat>
          <c:val>
            <c:numRef>
              <c:f>'P&amp;C Worksheet'!$D$60</c:f>
              <c:numCache>
                <c:formatCode>0%</c:formatCode>
                <c:ptCount val="1"/>
                <c:pt idx="0">
                  <c:v>0.59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0F1-464B-A28B-CE36A0531A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5949440"/>
        <c:axId val="105959424"/>
      </c:barChart>
      <c:catAx>
        <c:axId val="1059494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105959424"/>
        <c:crosses val="autoZero"/>
        <c:auto val="1"/>
        <c:lblAlgn val="ctr"/>
        <c:lblOffset val="100"/>
        <c:noMultiLvlLbl val="0"/>
      </c:catAx>
      <c:valAx>
        <c:axId val="10595942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1059494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8.9316657580531755E-2"/>
          <c:y val="0.86083214093456173"/>
          <c:w val="0.88847747658485698"/>
          <c:h val="0.1364496696918425"/>
        </c:manualLayout>
      </c:layout>
      <c:overlay val="0"/>
      <c:txPr>
        <a:bodyPr/>
        <a:lstStyle/>
        <a:p>
          <a:pPr>
            <a:defRPr b="1"/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+mj-lt"/>
        </a:defRPr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048732324429738"/>
          <c:y val="7.2843727107504447E-2"/>
          <c:w val="0.79734333504169963"/>
          <c:h val="0.62501097806556671"/>
        </c:manualLayout>
      </c:layout>
      <c:lineChart>
        <c:grouping val="standard"/>
        <c:varyColors val="0"/>
        <c:ser>
          <c:idx val="0"/>
          <c:order val="0"/>
          <c:tx>
            <c:strRef>
              <c:f>'P&amp;C Worksheet'!$A$70</c:f>
              <c:strCache>
                <c:ptCount val="1"/>
                <c:pt idx="0">
                  <c:v>Wyndham </c:v>
                </c:pt>
              </c:strCache>
            </c:strRef>
          </c:tx>
          <c:cat>
            <c:numRef>
              <c:f>'P&amp;C Worksheet'!$B$69:$D$69</c:f>
              <c:numCache>
                <c:formatCode>General</c:formatCode>
                <c:ptCount val="3"/>
                <c:pt idx="0">
                  <c:v>2008</c:v>
                </c:pt>
                <c:pt idx="1">
                  <c:v>2011</c:v>
                </c:pt>
                <c:pt idx="2">
                  <c:v>2014</c:v>
                </c:pt>
              </c:numCache>
            </c:numRef>
          </c:cat>
          <c:val>
            <c:numRef>
              <c:f>'P&amp;C Worksheet'!$B$70:$D$70</c:f>
              <c:numCache>
                <c:formatCode>0%</c:formatCode>
                <c:ptCount val="3"/>
                <c:pt idx="0">
                  <c:v>0.23100000000000001</c:v>
                </c:pt>
                <c:pt idx="1">
                  <c:v>0.17699999999999999</c:v>
                </c:pt>
                <c:pt idx="2">
                  <c:v>0.13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C55-4DDE-A117-F7CBF6825306}"/>
            </c:ext>
          </c:extLst>
        </c:ser>
        <c:ser>
          <c:idx val="1"/>
          <c:order val="1"/>
          <c:tx>
            <c:strRef>
              <c:f>'P&amp;C Worksheet'!$A$71</c:f>
              <c:strCache>
                <c:ptCount val="1"/>
                <c:pt idx="0">
                  <c:v>North West Metro</c:v>
                </c:pt>
              </c:strCache>
            </c:strRef>
          </c:tx>
          <c:spPr>
            <a:ln>
              <a:solidFill>
                <a:schemeClr val="tx2">
                  <a:lumMod val="20000"/>
                  <a:lumOff val="80000"/>
                </a:schemeClr>
              </a:solidFill>
            </a:ln>
          </c:spPr>
          <c:marker>
            <c:spPr>
              <a:solidFill>
                <a:schemeClr val="tx2">
                  <a:lumMod val="20000"/>
                  <a:lumOff val="80000"/>
                </a:schemeClr>
              </a:solidFill>
              <a:ln>
                <a:solidFill>
                  <a:schemeClr val="tx2">
                    <a:lumMod val="20000"/>
                    <a:lumOff val="80000"/>
                  </a:schemeClr>
                </a:solidFill>
              </a:ln>
            </c:spPr>
          </c:marker>
          <c:cat>
            <c:numRef>
              <c:f>'P&amp;C Worksheet'!$B$69:$D$69</c:f>
              <c:numCache>
                <c:formatCode>General</c:formatCode>
                <c:ptCount val="3"/>
                <c:pt idx="0">
                  <c:v>2008</c:v>
                </c:pt>
                <c:pt idx="1">
                  <c:v>2011</c:v>
                </c:pt>
                <c:pt idx="2">
                  <c:v>2014</c:v>
                </c:pt>
              </c:numCache>
            </c:numRef>
          </c:cat>
          <c:val>
            <c:numRef>
              <c:f>'P&amp;C Worksheet'!$B$71:$D$71</c:f>
              <c:numCache>
                <c:formatCode>0%</c:formatCode>
                <c:ptCount val="3"/>
                <c:pt idx="0">
                  <c:v>0.2</c:v>
                </c:pt>
                <c:pt idx="1">
                  <c:v>0.16700000000000001</c:v>
                </c:pt>
                <c:pt idx="2">
                  <c:v>0.13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C55-4DDE-A117-F7CBF6825306}"/>
            </c:ext>
          </c:extLst>
        </c:ser>
        <c:ser>
          <c:idx val="2"/>
          <c:order val="2"/>
          <c:tx>
            <c:strRef>
              <c:f>'P&amp;C Worksheet'!$A$72</c:f>
              <c:strCache>
                <c:ptCount val="1"/>
                <c:pt idx="0">
                  <c:v>Victoria</c:v>
                </c:pt>
              </c:strCache>
            </c:strRef>
          </c:tx>
          <c:spPr>
            <a:ln>
              <a:solidFill>
                <a:schemeClr val="tx2">
                  <a:lumMod val="50000"/>
                </a:schemeClr>
              </a:solidFill>
            </a:ln>
          </c:spPr>
          <c:marker>
            <c:spPr>
              <a:solidFill>
                <a:schemeClr val="tx2">
                  <a:lumMod val="50000"/>
                </a:schemeClr>
              </a:solidFill>
              <a:ln>
                <a:solidFill>
                  <a:schemeClr val="tx2">
                    <a:lumMod val="50000"/>
                  </a:schemeClr>
                </a:solidFill>
              </a:ln>
            </c:spPr>
          </c:marker>
          <c:cat>
            <c:numRef>
              <c:f>'P&amp;C Worksheet'!$B$69:$D$69</c:f>
              <c:numCache>
                <c:formatCode>General</c:formatCode>
                <c:ptCount val="3"/>
                <c:pt idx="0">
                  <c:v>2008</c:v>
                </c:pt>
                <c:pt idx="1">
                  <c:v>2011</c:v>
                </c:pt>
                <c:pt idx="2">
                  <c:v>2014</c:v>
                </c:pt>
              </c:numCache>
            </c:numRef>
          </c:cat>
          <c:val>
            <c:numRef>
              <c:f>'P&amp;C Worksheet'!$B$72:$D$72</c:f>
              <c:numCache>
                <c:formatCode>0%</c:formatCode>
                <c:ptCount val="3"/>
                <c:pt idx="0">
                  <c:v>0.191</c:v>
                </c:pt>
                <c:pt idx="1">
                  <c:v>0.157</c:v>
                </c:pt>
                <c:pt idx="2">
                  <c:v>0.13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C55-4DDE-A117-F7CBF68253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5976576"/>
        <c:axId val="105978496"/>
      </c:lineChart>
      <c:catAx>
        <c:axId val="1059765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5978496"/>
        <c:crosses val="autoZero"/>
        <c:auto val="1"/>
        <c:lblAlgn val="ctr"/>
        <c:lblOffset val="100"/>
        <c:noMultiLvlLbl val="0"/>
      </c:catAx>
      <c:valAx>
        <c:axId val="105978496"/>
        <c:scaling>
          <c:orientation val="minMax"/>
          <c:min val="0.12000000000000001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059765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2.0490564173347135E-2"/>
          <c:y val="0.81627987712832406"/>
          <c:w val="0.94757489633322467"/>
          <c:h val="0.11503931831006331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b="0">
          <a:latin typeface="+mj-lt"/>
        </a:defRPr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4342457192850894"/>
          <c:y val="6.6086426696662912E-2"/>
          <c:w val="0.72927439625602353"/>
          <c:h val="0.6538442069741282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'P&amp;C Worksheet'!$A$82</c:f>
              <c:strCache>
                <c:ptCount val="1"/>
                <c:pt idx="0">
                  <c:v>Wyndham</c:v>
                </c:pt>
              </c:strCache>
            </c:strRef>
          </c:tx>
          <c:invertIfNegative val="0"/>
          <c:dLbls>
            <c:numFmt formatCode="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'P&amp;C Worksheet'!$B$81:$C$81</c:f>
              <c:strCache>
                <c:ptCount val="2"/>
                <c:pt idx="0">
                  <c:v>2011/2012</c:v>
                </c:pt>
                <c:pt idx="1">
                  <c:v>2014</c:v>
                </c:pt>
              </c:strCache>
            </c:strRef>
          </c:cat>
          <c:val>
            <c:numRef>
              <c:f>'P&amp;C Worksheet'!$B$82:$C$82</c:f>
              <c:numCache>
                <c:formatCode>0.00%</c:formatCode>
                <c:ptCount val="2"/>
                <c:pt idx="0">
                  <c:v>0.189</c:v>
                </c:pt>
                <c:pt idx="1">
                  <c:v>0.23200000000000001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B79-4057-8EDE-91C1B05267D0}"/>
            </c:ext>
          </c:extLst>
        </c:ser>
        <c:ser>
          <c:idx val="1"/>
          <c:order val="1"/>
          <c:tx>
            <c:strRef>
              <c:f>'P&amp;C Worksheet'!$A$83</c:f>
              <c:strCache>
                <c:ptCount val="1"/>
                <c:pt idx="0">
                  <c:v>North West Metro</c:v>
                </c:pt>
              </c:strCache>
            </c:strRef>
          </c:tx>
          <c:spPr>
            <a:solidFill>
              <a:schemeClr val="tx2">
                <a:lumMod val="20000"/>
                <a:lumOff val="80000"/>
              </a:schemeClr>
            </a:solidFill>
          </c:spPr>
          <c:invertIfNegative val="0"/>
          <c:dLbls>
            <c:numFmt formatCode="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'P&amp;C Worksheet'!$B$81:$C$81</c:f>
              <c:strCache>
                <c:ptCount val="2"/>
                <c:pt idx="0">
                  <c:v>2011/2012</c:v>
                </c:pt>
                <c:pt idx="1">
                  <c:v>2014</c:v>
                </c:pt>
              </c:strCache>
            </c:strRef>
          </c:cat>
          <c:val>
            <c:numRef>
              <c:f>'P&amp;C Worksheet'!$B$83:$C$83</c:f>
              <c:numCache>
                <c:formatCode>0.00%</c:formatCode>
                <c:ptCount val="2"/>
                <c:pt idx="0">
                  <c:v>0.19500000000000001</c:v>
                </c:pt>
                <c:pt idx="1">
                  <c:v>0.22500000000000001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B79-4057-8EDE-91C1B05267D0}"/>
            </c:ext>
          </c:extLst>
        </c:ser>
        <c:ser>
          <c:idx val="2"/>
          <c:order val="2"/>
          <c:tx>
            <c:strRef>
              <c:f>'P&amp;C Worksheet'!$A$84</c:f>
              <c:strCache>
                <c:ptCount val="1"/>
                <c:pt idx="0">
                  <c:v>Victoria</c:v>
                </c:pt>
              </c:strCache>
            </c:strRef>
          </c:tx>
          <c:spPr>
            <a:solidFill>
              <a:schemeClr val="tx2">
                <a:lumMod val="50000"/>
              </a:schemeClr>
            </a:solidFill>
          </c:spPr>
          <c:invertIfNegative val="0"/>
          <c:dLbls>
            <c:numFmt formatCode="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'P&amp;C Worksheet'!$B$81:$C$81</c:f>
              <c:strCache>
                <c:ptCount val="2"/>
                <c:pt idx="0">
                  <c:v>2011/2012</c:v>
                </c:pt>
                <c:pt idx="1">
                  <c:v>2014</c:v>
                </c:pt>
              </c:strCache>
            </c:strRef>
          </c:cat>
          <c:val>
            <c:numRef>
              <c:f>'P&amp;C Worksheet'!$B$84:$C$84</c:f>
              <c:numCache>
                <c:formatCode>0.00%</c:formatCode>
                <c:ptCount val="2"/>
                <c:pt idx="0">
                  <c:v>0.19900000000000001</c:v>
                </c:pt>
                <c:pt idx="1">
                  <c:v>0.24199999999999999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B79-4057-8EDE-91C1B05267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6013824"/>
        <c:axId val="106015360"/>
      </c:barChart>
      <c:catAx>
        <c:axId val="1060138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6015360"/>
        <c:crosses val="autoZero"/>
        <c:auto val="1"/>
        <c:lblAlgn val="ctr"/>
        <c:lblOffset val="100"/>
        <c:noMultiLvlLbl val="0"/>
      </c:catAx>
      <c:valAx>
        <c:axId val="106015360"/>
        <c:scaling>
          <c:orientation val="minMax"/>
        </c:scaling>
        <c:delete val="0"/>
        <c:axPos val="l"/>
        <c:majorGridlines/>
        <c:numFmt formatCode="0.0%" sourceLinked="0"/>
        <c:majorTickMark val="out"/>
        <c:minorTickMark val="none"/>
        <c:tickLblPos val="nextTo"/>
        <c:crossAx val="1060138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2137621686178118"/>
          <c:y val="0.86235470566179218"/>
          <c:w val="0.75516699301476209"/>
          <c:h val="9.0766310461192337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b="1">
          <a:latin typeface="+mj-lt"/>
        </a:defRPr>
      </a:pPr>
      <a:endParaRPr lang="en-US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1-FE37-4E0B-BC51-BB9302DDA8A0}"/>
              </c:ext>
            </c:extLst>
          </c:dPt>
          <c:dLbls>
            <c:numFmt formatCode="#,##0.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'P&amp;C Worksheet'!$A$91:$A$96</c:f>
              <c:strCache>
                <c:ptCount val="6"/>
                <c:pt idx="0">
                  <c:v>Wyndham </c:v>
                </c:pt>
                <c:pt idx="1">
                  <c:v>Whittlesea</c:v>
                </c:pt>
                <c:pt idx="2">
                  <c:v>Melton</c:v>
                </c:pt>
                <c:pt idx="3">
                  <c:v>Hume</c:v>
                </c:pt>
                <c:pt idx="4">
                  <c:v>Casey</c:v>
                </c:pt>
                <c:pt idx="5">
                  <c:v>Cardinia</c:v>
                </c:pt>
              </c:strCache>
            </c:strRef>
          </c:cat>
          <c:val>
            <c:numRef>
              <c:f>'P&amp;C Worksheet'!$B$91:$B$96</c:f>
              <c:numCache>
                <c:formatCode>General</c:formatCode>
                <c:ptCount val="6"/>
                <c:pt idx="0">
                  <c:v>5.68</c:v>
                </c:pt>
                <c:pt idx="1">
                  <c:v>3.17</c:v>
                </c:pt>
                <c:pt idx="2">
                  <c:v>5.03</c:v>
                </c:pt>
                <c:pt idx="3">
                  <c:v>5.53</c:v>
                </c:pt>
                <c:pt idx="4">
                  <c:v>4.04</c:v>
                </c:pt>
                <c:pt idx="5">
                  <c:v>4.1500000000000004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E37-4E0B-BC51-BB9302DDA8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6044416"/>
        <c:axId val="106050304"/>
      </c:barChart>
      <c:catAx>
        <c:axId val="1060444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6050304"/>
        <c:crosses val="autoZero"/>
        <c:auto val="1"/>
        <c:lblAlgn val="ctr"/>
        <c:lblOffset val="100"/>
        <c:noMultiLvlLbl val="0"/>
      </c:catAx>
      <c:valAx>
        <c:axId val="1060503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604441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b="1">
          <a:latin typeface="+mj-lt"/>
        </a:defRPr>
      </a:pPr>
      <a:endParaRPr lang="en-US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'P&amp;C Worksheet'!$A$102:$D$102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'P&amp;C Worksheet'!$A$103:$D$103</c:f>
              <c:numCache>
                <c:formatCode>0.00</c:formatCode>
                <c:ptCount val="4"/>
                <c:pt idx="0">
                  <c:v>8.24</c:v>
                </c:pt>
                <c:pt idx="1">
                  <c:v>8.3699999999999992</c:v>
                </c:pt>
                <c:pt idx="2" formatCode="General">
                  <c:v>7.95</c:v>
                </c:pt>
                <c:pt idx="3" formatCode="General">
                  <c:v>7.94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9C2-4A3B-921F-517906B988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3601024"/>
        <c:axId val="73602560"/>
      </c:lineChart>
      <c:catAx>
        <c:axId val="736010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3602560"/>
        <c:crosses val="autoZero"/>
        <c:auto val="1"/>
        <c:lblAlgn val="ctr"/>
        <c:lblOffset val="100"/>
        <c:noMultiLvlLbl val="0"/>
      </c:catAx>
      <c:valAx>
        <c:axId val="73602560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7360102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solidFill>
            <a:sysClr val="windowText" lastClr="000000"/>
          </a:solidFill>
          <a:latin typeface="+mj-lt"/>
        </a:defRPr>
      </a:pPr>
      <a:endParaRPr lang="en-US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'P&amp;C Worksheet'!$F$114</c:f>
              <c:strCache>
                <c:ptCount val="1"/>
                <c:pt idx="0">
                  <c:v>Oct 2016 - Sept 2017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j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'P&amp;C Worksheet'!$A$115:$A$122</c:f>
              <c:strCache>
                <c:ptCount val="8"/>
                <c:pt idx="0">
                  <c:v>Hume</c:v>
                </c:pt>
                <c:pt idx="1">
                  <c:v>Melton</c:v>
                </c:pt>
                <c:pt idx="2">
                  <c:v>Whittlesea</c:v>
                </c:pt>
                <c:pt idx="3">
                  <c:v>Wyndham</c:v>
                </c:pt>
                <c:pt idx="4">
                  <c:v>Cardinia</c:v>
                </c:pt>
                <c:pt idx="5">
                  <c:v>Casey</c:v>
                </c:pt>
                <c:pt idx="6">
                  <c:v>NWMR</c:v>
                </c:pt>
                <c:pt idx="7">
                  <c:v>Victoria</c:v>
                </c:pt>
              </c:strCache>
            </c:strRef>
          </c:cat>
          <c:val>
            <c:numRef>
              <c:f>'P&amp;C Worksheet'!$F$115:$F$122</c:f>
              <c:numCache>
                <c:formatCode>#,##0.00</c:formatCode>
                <c:ptCount val="8"/>
                <c:pt idx="0">
                  <c:v>1505.9</c:v>
                </c:pt>
                <c:pt idx="1">
                  <c:v>1433.9</c:v>
                </c:pt>
                <c:pt idx="2">
                  <c:v>1427.6</c:v>
                </c:pt>
                <c:pt idx="3">
                  <c:v>1166.5</c:v>
                </c:pt>
                <c:pt idx="4">
                  <c:v>1177.8</c:v>
                </c:pt>
                <c:pt idx="5">
                  <c:v>1492.9</c:v>
                </c:pt>
                <c:pt idx="6">
                  <c:v>1138.7</c:v>
                </c:pt>
                <c:pt idx="7">
                  <c:v>1224.0999999999999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B24-433D-98B4-25123BE297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74540712"/>
        <c:axId val="474541368"/>
      </c:barChart>
      <c:lineChart>
        <c:grouping val="standard"/>
        <c:varyColors val="0"/>
        <c:ser>
          <c:idx val="1"/>
          <c:order val="1"/>
          <c:tx>
            <c:strRef>
              <c:f>'P&amp;C Worksheet'!$G$114</c:f>
              <c:strCache>
                <c:ptCount val="1"/>
                <c:pt idx="0">
                  <c:v>% change 2016 - 2017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j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'P&amp;C Worksheet'!$A$115:$A$122</c:f>
              <c:strCache>
                <c:ptCount val="8"/>
                <c:pt idx="0">
                  <c:v>Hume</c:v>
                </c:pt>
                <c:pt idx="1">
                  <c:v>Melton</c:v>
                </c:pt>
                <c:pt idx="2">
                  <c:v>Whittlesea</c:v>
                </c:pt>
                <c:pt idx="3">
                  <c:v>Wyndham</c:v>
                </c:pt>
                <c:pt idx="4">
                  <c:v>Cardinia</c:v>
                </c:pt>
                <c:pt idx="5">
                  <c:v>Casey</c:v>
                </c:pt>
                <c:pt idx="6">
                  <c:v>NWMR</c:v>
                </c:pt>
                <c:pt idx="7">
                  <c:v>Victoria</c:v>
                </c:pt>
              </c:strCache>
            </c:strRef>
          </c:cat>
          <c:val>
            <c:numRef>
              <c:f>'P&amp;C Worksheet'!$G$115:$G$122</c:f>
              <c:numCache>
                <c:formatCode>0.00%</c:formatCode>
                <c:ptCount val="8"/>
                <c:pt idx="0">
                  <c:v>-1.7999999999999999E-2</c:v>
                </c:pt>
                <c:pt idx="1">
                  <c:v>-7.6999999999999999E-2</c:v>
                </c:pt>
                <c:pt idx="2">
                  <c:v>2E-3</c:v>
                </c:pt>
                <c:pt idx="3">
                  <c:v>-0.13800000000000001</c:v>
                </c:pt>
                <c:pt idx="4">
                  <c:v>-0.20799999999999999</c:v>
                </c:pt>
                <c:pt idx="5">
                  <c:v>-1E-3</c:v>
                </c:pt>
                <c:pt idx="6">
                  <c:v>-7.2999999999999995E-2</c:v>
                </c:pt>
                <c:pt idx="7">
                  <c:v>-5.7000000000000002E-2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B24-433D-98B4-25123BE297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84730936"/>
        <c:axId val="584730280"/>
      </c:lineChart>
      <c:catAx>
        <c:axId val="474540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j-lt"/>
                <a:ea typeface="+mn-ea"/>
                <a:cs typeface="+mn-cs"/>
              </a:defRPr>
            </a:pPr>
            <a:endParaRPr lang="en-US"/>
          </a:p>
        </c:txPr>
        <c:crossAx val="474541368"/>
        <c:crosses val="autoZero"/>
        <c:auto val="1"/>
        <c:lblAlgn val="ctr"/>
        <c:lblOffset val="100"/>
        <c:noMultiLvlLbl val="0"/>
      </c:catAx>
      <c:valAx>
        <c:axId val="474541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j-lt"/>
                <a:ea typeface="+mn-ea"/>
                <a:cs typeface="+mn-cs"/>
              </a:defRPr>
            </a:pPr>
            <a:endParaRPr lang="en-US"/>
          </a:p>
        </c:txPr>
        <c:crossAx val="474540712"/>
        <c:crosses val="autoZero"/>
        <c:crossBetween val="between"/>
      </c:valAx>
      <c:valAx>
        <c:axId val="584730280"/>
        <c:scaling>
          <c:orientation val="minMax"/>
        </c:scaling>
        <c:delete val="0"/>
        <c:axPos val="r"/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j-lt"/>
                <a:ea typeface="+mn-ea"/>
                <a:cs typeface="+mn-cs"/>
              </a:defRPr>
            </a:pPr>
            <a:endParaRPr lang="en-US"/>
          </a:p>
        </c:txPr>
        <c:crossAx val="584730936"/>
        <c:crosses val="max"/>
        <c:crossBetween val="between"/>
      </c:valAx>
      <c:catAx>
        <c:axId val="58473093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58473028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j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+mj-lt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5A6FB7-C3A6-481C-8550-3B3EFB7D3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Factsheet No Images</Template>
  <TotalTime>0</TotalTime>
  <Pages>4</Pages>
  <Words>510</Words>
  <Characters>2908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Ckaos</Company>
  <LinksUpToDate>false</LinksUpToDate>
  <CharactersWithSpaces>3412</CharactersWithSpaces>
  <SharedDoc>false</SharedDoc>
  <HLinks>
    <vt:vector size="12" baseType="variant">
      <vt:variant>
        <vt:i4>7143438</vt:i4>
      </vt:variant>
      <vt:variant>
        <vt:i4>-1</vt:i4>
      </vt:variant>
      <vt:variant>
        <vt:i4>1031</vt:i4>
      </vt:variant>
      <vt:variant>
        <vt:i4>1</vt:i4>
      </vt:variant>
      <vt:variant>
        <vt:lpwstr>IMG</vt:lpwstr>
      </vt:variant>
      <vt:variant>
        <vt:lpwstr/>
      </vt:variant>
      <vt:variant>
        <vt:i4>7143438</vt:i4>
      </vt:variant>
      <vt:variant>
        <vt:i4>-1</vt:i4>
      </vt:variant>
      <vt:variant>
        <vt:i4>1029</vt:i4>
      </vt:variant>
      <vt:variant>
        <vt:i4>1</vt:i4>
      </vt:variant>
      <vt:variant>
        <vt:lpwstr>IMG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Green</dc:creator>
  <cp:lastModifiedBy>Stephanie Green</cp:lastModifiedBy>
  <cp:revision>2</cp:revision>
  <dcterms:created xsi:type="dcterms:W3CDTF">2018-02-13T03:21:00Z</dcterms:created>
  <dcterms:modified xsi:type="dcterms:W3CDTF">2018-02-13T03:21:00Z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A1697165</vt:lpwstr>
  </property>
  <property fmtid="{D5CDD505-2E9C-101B-9397-08002B2CF9AE}" pid="4" name="Objective-Title">
    <vt:lpwstr>City Plan - Strategic Indicators - People and Community 5.06.17</vt:lpwstr>
  </property>
  <property fmtid="{D5CDD505-2E9C-101B-9397-08002B2CF9AE}" pid="5" name="Objective-Comment">
    <vt:lpwstr/>
  </property>
  <property fmtid="{D5CDD505-2E9C-101B-9397-08002B2CF9AE}" pid="6" name="Objective-CreationStamp">
    <vt:filetime>2017-06-05T04:57:59Z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2017-06-23T04:58:17Z</vt:filetime>
  </property>
  <property fmtid="{D5CDD505-2E9C-101B-9397-08002B2CF9AE}" pid="10" name="Objective-ModificationStamp">
    <vt:filetime>2017-06-23T04:58:17Z</vt:filetime>
  </property>
  <property fmtid="{D5CDD505-2E9C-101B-9397-08002B2CF9AE}" pid="11" name="Objective-Owner">
    <vt:lpwstr>Stephanie Green</vt:lpwstr>
  </property>
  <property fmtid="{D5CDD505-2E9C-101B-9397-08002B2CF9AE}" pid="12" name="Objective-Path">
    <vt:lpwstr>Objective Global Folder:Corporate Management:Department - Strategy &amp; Stakeholder Engagement - Strategy &amp; Stakeholder Engagement:Research &amp; Materials:Statistics:</vt:lpwstr>
  </property>
  <property fmtid="{D5CDD505-2E9C-101B-9397-08002B2CF9AE}" pid="13" name="Objective-Parent">
    <vt:lpwstr>Statistics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6.0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>qA276698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Action Officer [system]">
    <vt:lpwstr/>
  </property>
  <property fmtid="{D5CDD505-2E9C-101B-9397-08002B2CF9AE}" pid="22" name="Objective-Delivery Mode [system]">
    <vt:lpwstr>Internal</vt:lpwstr>
  </property>
  <property fmtid="{D5CDD505-2E9C-101B-9397-08002B2CF9AE}" pid="23" name="Objective-Auth or Addressee [system]">
    <vt:lpwstr>Staff Wyndham City</vt:lpwstr>
  </property>
  <property fmtid="{D5CDD505-2E9C-101B-9397-08002B2CF9AE}" pid="24" name="Objective-Auth or Addressee NAR No [system]">
    <vt:lpwstr>544420</vt:lpwstr>
  </property>
  <property fmtid="{D5CDD505-2E9C-101B-9397-08002B2CF9AE}" pid="25" name="Objective-Reference [system]">
    <vt:lpwstr/>
  </property>
  <property fmtid="{D5CDD505-2E9C-101B-9397-08002B2CF9AE}" pid="26" name="Objective-P&amp;R Reference Data Type [system]">
    <vt:lpwstr/>
  </property>
  <property fmtid="{D5CDD505-2E9C-101B-9397-08002B2CF9AE}" pid="27" name="Objective-External Reference [system]">
    <vt:lpwstr/>
  </property>
  <property fmtid="{D5CDD505-2E9C-101B-9397-08002B2CF9AE}" pid="28" name="Objective-Date of Document [system]">
    <vt:lpwstr/>
  </property>
  <property fmtid="{D5CDD505-2E9C-101B-9397-08002B2CF9AE}" pid="29" name="Objective-Scanning Operator [system]">
    <vt:lpwstr/>
  </property>
  <property fmtid="{D5CDD505-2E9C-101B-9397-08002B2CF9AE}" pid="30" name="Objective-P&amp;R Document ID [system]">
    <vt:lpwstr/>
  </property>
  <property fmtid="{D5CDD505-2E9C-101B-9397-08002B2CF9AE}" pid="31" name="Objective-Workflow Tracking Number [system]">
    <vt:lpwstr/>
  </property>
  <property fmtid="{D5CDD505-2E9C-101B-9397-08002B2CF9AE}" pid="32" name="Objective-Date Correspondence Received [system]">
    <vt:lpwstr/>
  </property>
  <property fmtid="{D5CDD505-2E9C-101B-9397-08002B2CF9AE}" pid="33" name="Objective-Date Response Due [system]">
    <vt:lpwstr/>
  </property>
  <property fmtid="{D5CDD505-2E9C-101B-9397-08002B2CF9AE}" pid="34" name="Objective-M13 Agent Type [system]">
    <vt:lpwstr>Record Author</vt:lpwstr>
  </property>
  <property fmtid="{D5CDD505-2E9C-101B-9397-08002B2CF9AE}" pid="35" name="Objective-M14 Jurisdiction [system]">
    <vt:lpwstr>Victoria</vt:lpwstr>
  </property>
  <property fmtid="{D5CDD505-2E9C-101B-9397-08002B2CF9AE}" pid="36" name="Objective-M15 Corporate Id [system]">
    <vt:lpwstr>12345</vt:lpwstr>
  </property>
  <property fmtid="{D5CDD505-2E9C-101B-9397-08002B2CF9AE}" pid="37" name="Objective-M16 Corporate Name [system]">
    <vt:lpwstr>Wyndham City Council</vt:lpwstr>
  </property>
  <property fmtid="{D5CDD505-2E9C-101B-9397-08002B2CF9AE}" pid="38" name="Objective-M33 Scheme Type [system]">
    <vt:lpwstr>Functional</vt:lpwstr>
  </property>
  <property fmtid="{D5CDD505-2E9C-101B-9397-08002B2CF9AE}" pid="39" name="Objective-M34 Scheme Name [system]">
    <vt:lpwstr>Agency Functional Thesaurus</vt:lpwstr>
  </property>
  <property fmtid="{D5CDD505-2E9C-101B-9397-08002B2CF9AE}" pid="40" name="Objective-M35 Title Word [system]">
    <vt:lpwstr/>
  </property>
  <property fmtid="{D5CDD505-2E9C-101B-9397-08002B2CF9AE}" pid="41" name="Objective-M56 Date/Time Transmission [system]">
    <vt:lpwstr/>
  </property>
  <property fmtid="{D5CDD505-2E9C-101B-9397-08002B2CF9AE}" pid="42" name="Objective-M125 Document Source [system]">
    <vt:lpwstr/>
  </property>
  <property fmtid="{D5CDD505-2E9C-101B-9397-08002B2CF9AE}" pid="43" name="Objective-M131 Rendering Text [system]">
    <vt:lpwstr>'See the contents of the vers:FileEncoding element'</vt:lpwstr>
  </property>
  <property fmtid="{D5CDD505-2E9C-101B-9397-08002B2CF9AE}" pid="44" name="Objective-Actioning Officer or Group [system]">
    <vt:lpwstr/>
  </property>
  <property fmtid="{D5CDD505-2E9C-101B-9397-08002B2CF9AE}" pid="45" name="Objective-Actioning Business Unit [system]">
    <vt:lpwstr/>
  </property>
  <property fmtid="{D5CDD505-2E9C-101B-9397-08002B2CF9AE}" pid="46" name="Objective-FYI Required [system]">
    <vt:lpwstr>No</vt:lpwstr>
  </property>
  <property fmtid="{D5CDD505-2E9C-101B-9397-08002B2CF9AE}" pid="47" name="Objective-FYI Officers or Groups [system]">
    <vt:lpwstr/>
  </property>
  <property fmtid="{D5CDD505-2E9C-101B-9397-08002B2CF9AE}" pid="48" name="Objective-FYI Comments [system]">
    <vt:lpwstr/>
  </property>
  <property fmtid="{D5CDD505-2E9C-101B-9397-08002B2CF9AE}" pid="49" name="Objective-Connect Creator [system]">
    <vt:lpwstr/>
  </property>
</Properties>
</file>