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66BC8" w:rsidRDefault="00430DB0" w:rsidP="00F4181E">
      <w:pPr>
        <w:pStyle w:val="Header02"/>
      </w:pPr>
      <w:r>
        <w:rPr>
          <w:lang w:val="en-AU" w:eastAsia="en-AU"/>
        </w:rPr>
        <mc:AlternateContent>
          <mc:Choice Requires="wps">
            <w:drawing>
              <wp:anchor distT="0" distB="0" distL="114300" distR="114300" simplePos="0" relativeHeight="251655680" behindDoc="0" locked="0" layoutInCell="1" allowOverlap="1" wp14:anchorId="4541069D" wp14:editId="6AA78043">
                <wp:simplePos x="0" y="0"/>
                <wp:positionH relativeFrom="column">
                  <wp:posOffset>0</wp:posOffset>
                </wp:positionH>
                <wp:positionV relativeFrom="page">
                  <wp:posOffset>1728470</wp:posOffset>
                </wp:positionV>
                <wp:extent cx="3959860" cy="1044000"/>
                <wp:effectExtent l="0" t="0" r="2540" b="22860"/>
                <wp:wrapThrough wrapText="bothSides">
                  <wp:wrapPolygon edited="0">
                    <wp:start x="0" y="0"/>
                    <wp:lineTo x="0" y="21547"/>
                    <wp:lineTo x="21475" y="21547"/>
                    <wp:lineTo x="21475"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0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E6" w:rsidRDefault="00E01A52" w:rsidP="00066BC8">
                            <w:pPr>
                              <w:pStyle w:val="Header01"/>
                            </w:pPr>
                            <w:r>
                              <w:t>Central District</w:t>
                            </w:r>
                            <w:r w:rsidR="00FC0DE6">
                              <w:t xml:space="preserve"> </w:t>
                            </w:r>
                          </w:p>
                          <w:p w:rsidR="00FC0DE6" w:rsidRPr="00DF1843" w:rsidRDefault="00E01A52" w:rsidP="000D338F">
                            <w:pPr>
                              <w:pStyle w:val="IntroPara01"/>
                            </w:pPr>
                            <w:r>
                              <w:t xml:space="preserve">Demographic Profile </w:t>
                            </w:r>
                            <w:r w:rsidR="00FC0DE6">
                              <w:t xml:space="preserve"> </w:t>
                            </w:r>
                          </w:p>
                          <w:p w:rsidR="00FC0DE6" w:rsidRDefault="00FC0DE6" w:rsidP="00066BC8">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6.1pt;width:311.8pt;height:8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lisAIAAKo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" filled="f" stroked="f">
                <v:textbox inset="0,0,0,0">
                  <w:txbxContent>
                    <w:p w:rsidR="00FC0DE6" w:rsidRDefault="00E01A52" w:rsidP="00066BC8">
                      <w:pPr>
                        <w:pStyle w:val="Header01"/>
                      </w:pPr>
                      <w:r>
                        <w:t>Central District</w:t>
                      </w:r>
                      <w:r w:rsidR="00FC0DE6">
                        <w:t xml:space="preserve"> </w:t>
                      </w:r>
                    </w:p>
                    <w:p w:rsidR="00FC0DE6" w:rsidRPr="00DF1843" w:rsidRDefault="00E01A52" w:rsidP="000D338F">
                      <w:pPr>
                        <w:pStyle w:val="IntroPara01"/>
                      </w:pPr>
                      <w:r>
                        <w:t xml:space="preserve">Demographic Profile </w:t>
                      </w:r>
                      <w:r w:rsidR="00FC0DE6">
                        <w:t xml:space="preserve"> </w:t>
                      </w:r>
                    </w:p>
                    <w:p w:rsidR="00FC0DE6" w:rsidRDefault="00FC0DE6" w:rsidP="00066BC8">
                      <w:pPr>
                        <w:pStyle w:val="Header01"/>
                      </w:pPr>
                    </w:p>
                  </w:txbxContent>
                </v:textbox>
                <w10:wrap type="through" anchory="page"/>
              </v:shape>
            </w:pict>
          </mc:Fallback>
        </mc:AlternateContent>
      </w:r>
      <w:r w:rsidR="00E62FDC">
        <w:t xml:space="preserve"> </w:t>
      </w: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E01A52" w:rsidRDefault="00E01A52" w:rsidP="00C723DB">
      <w:pPr>
        <w:pStyle w:val="Body01"/>
        <w:sectPr w:rsidR="00E01A52" w:rsidSect="00E01A52">
          <w:footerReference w:type="default" r:id="rId9"/>
          <w:headerReference w:type="first" r:id="rId10"/>
          <w:type w:val="continuous"/>
          <w:pgSz w:w="11900" w:h="16840"/>
          <w:pgMar w:top="1625" w:right="851" w:bottom="851" w:left="851" w:header="510" w:footer="709" w:gutter="0"/>
          <w:cols w:space="454"/>
          <w:titlePg/>
          <w:docGrid w:linePitch="360"/>
        </w:sectPr>
      </w:pPr>
    </w:p>
    <w:p w:rsidR="00F4181E" w:rsidRDefault="00E01A52" w:rsidP="00C723DB">
      <w:pPr>
        <w:pStyle w:val="Body01"/>
      </w:pPr>
      <w:r>
        <w:lastRenderedPageBreak/>
        <w:t xml:space="preserve">Wyndham Central is made up of the suburbs of Hoppers Crossing and Tarneit. Tarneit is a rapidly developing suburb with a large population of residents born overseas. In contrast, Hoppers Crossing is one of the most established areas of Wyndham, first developed over 50 years ago. </w:t>
      </w:r>
    </w:p>
    <w:p w:rsidR="00E01A52" w:rsidRPr="00E01A52" w:rsidRDefault="00E01A52" w:rsidP="00C723DB">
      <w:pPr>
        <w:pStyle w:val="Body01"/>
        <w:rPr>
          <w:b/>
        </w:rPr>
      </w:pPr>
      <w:r w:rsidRPr="00E01A52">
        <w:rPr>
          <w:b/>
        </w:rPr>
        <w:t xml:space="preserve">Population </w:t>
      </w:r>
    </w:p>
    <w:p w:rsidR="00F4181E" w:rsidRDefault="00E01A52" w:rsidP="00C723DB">
      <w:pPr>
        <w:pStyle w:val="Body01"/>
      </w:pPr>
      <w:r>
        <w:t>Around a third (33.7%) of the total population of Wyndham resides in the Central District. At the 2016 Census, 73,263 people were living in Tarneit (34,561) and Hoppers Crossing (38,703).</w:t>
      </w:r>
    </w:p>
    <w:p w:rsidR="00F4181E" w:rsidRPr="00E01A52" w:rsidRDefault="00E01A52" w:rsidP="00C723DB">
      <w:pPr>
        <w:pStyle w:val="Body01"/>
        <w:rPr>
          <w:b/>
        </w:rPr>
      </w:pPr>
      <w:r w:rsidRPr="00E01A52">
        <w:rPr>
          <w:b/>
        </w:rPr>
        <w:t>Forecast</w:t>
      </w:r>
      <w:r w:rsidR="00B42624">
        <w:rPr>
          <w:rStyle w:val="EndnoteReference"/>
          <w:b/>
        </w:rPr>
        <w:endnoteReference w:id="1"/>
      </w:r>
      <w:r w:rsidRPr="00E01A52">
        <w:rPr>
          <w:b/>
        </w:rPr>
        <w:t xml:space="preserve"> </w:t>
      </w:r>
    </w:p>
    <w:p w:rsidR="00E01A52" w:rsidRDefault="001F62CA" w:rsidP="00C723DB">
      <w:pPr>
        <w:pStyle w:val="Body01"/>
      </w:pPr>
      <w:r>
        <w:t xml:space="preserve">Large growth is forecast for the Central District between 2016 and 2036. Interestingly, all of the growth will occur in Tarneit, while the population of Hoppers Crossing is expected to slowly decrease. </w:t>
      </w:r>
      <w:r w:rsidR="0072411C">
        <w:t xml:space="preserve">By 2036, the population of Tarneit is forecast to reach </w:t>
      </w:r>
      <w:r w:rsidR="00B42624">
        <w:t>93,148</w:t>
      </w:r>
      <w:r w:rsidR="0072411C">
        <w:t xml:space="preserve"> people; over 5</w:t>
      </w:r>
      <w:r w:rsidR="00B42624">
        <w:t>6</w:t>
      </w:r>
      <w:r w:rsidR="0072411C">
        <w:t xml:space="preserve">,000 more than the 2016 population. In Hoppers Crossing, the population is forecast is decline </w:t>
      </w:r>
      <w:r w:rsidR="00B42624">
        <w:t>by around 4%</w:t>
      </w:r>
      <w:r w:rsidR="0072411C">
        <w:t xml:space="preserve">. </w:t>
      </w:r>
    </w:p>
    <w:p w:rsidR="00F4181E" w:rsidRPr="008358EA" w:rsidRDefault="008358EA" w:rsidP="00C723DB">
      <w:pPr>
        <w:pStyle w:val="Body01"/>
        <w:rPr>
          <w:b/>
        </w:rPr>
      </w:pPr>
      <w:r w:rsidRPr="008358EA">
        <w:rPr>
          <w:b/>
        </w:rPr>
        <w:t xml:space="preserve">Age </w:t>
      </w:r>
    </w:p>
    <w:p w:rsidR="00E45D2E" w:rsidRDefault="00286067" w:rsidP="00C723DB">
      <w:pPr>
        <w:pStyle w:val="Body01"/>
      </w:pPr>
      <w:r>
        <w:t xml:space="preserve">The two largest age groups in the Central District are 0-9 years and 30-39 years. In total, these age groups account for over a third (36%) of all residents in the district. </w:t>
      </w:r>
      <w:r w:rsidR="00A85B09">
        <w:t>T</w:t>
      </w:r>
      <w:r>
        <w:t xml:space="preserve">he median ages in Tarneit and Hoppers Crossing are 30 and 35 respectively. </w:t>
      </w:r>
      <w:r w:rsidR="00E45D2E">
        <w:t xml:space="preserve">The older median age in Hoppers Crossing reflects the older more established community living in this area. </w:t>
      </w:r>
    </w:p>
    <w:p w:rsidR="00E45D2E" w:rsidRDefault="00757328" w:rsidP="00C723DB">
      <w:pPr>
        <w:pStyle w:val="Body01"/>
        <w:rPr>
          <w:b/>
        </w:rPr>
      </w:pPr>
      <w:r>
        <w:rPr>
          <w:b/>
        </w:rPr>
        <w:t xml:space="preserve">Cultural Diversity </w:t>
      </w:r>
    </w:p>
    <w:p w:rsidR="00757328" w:rsidRDefault="001D2F64" w:rsidP="00C723DB">
      <w:pPr>
        <w:pStyle w:val="Body01"/>
      </w:pPr>
      <w:r>
        <w:t xml:space="preserve">The Central District is a highly diverse area with 42% of residents born overseas. India, New Zealand, the Philippines, England and Sri Lanka are the top 5 most common countries of birth outside Australia. </w:t>
      </w:r>
      <w:r w:rsidR="0031031D">
        <w:t>There is also a lot of diversity in language</w:t>
      </w:r>
      <w:r w:rsidR="006325A6">
        <w:t xml:space="preserve"> spoken at home</w:t>
      </w:r>
      <w:r w:rsidR="0031031D">
        <w:t xml:space="preserve"> amongst Central District residents. In 2016, 43% of residents spoke a language other than English at home. Punjabi, Hindi, Arabic, Urdu and Gujarati were the top 5 most common. </w:t>
      </w:r>
    </w:p>
    <w:p w:rsidR="00E04F04" w:rsidRPr="00E04F04" w:rsidRDefault="00E04F04" w:rsidP="00C723DB">
      <w:pPr>
        <w:pStyle w:val="Body01"/>
        <w:rPr>
          <w:b/>
        </w:rPr>
      </w:pPr>
      <w:r w:rsidRPr="00E04F04">
        <w:rPr>
          <w:b/>
        </w:rPr>
        <w:t xml:space="preserve">Households </w:t>
      </w:r>
    </w:p>
    <w:p w:rsidR="00E04F04" w:rsidRDefault="00ED3216" w:rsidP="00C723DB">
      <w:pPr>
        <w:pStyle w:val="Body01"/>
      </w:pPr>
      <w:r>
        <w:t xml:space="preserve">The predominant household type in the Central District is couples with children (44%) followed by couples without children (19%) and lone person households (13%). In Hoppers Crossing, the median household size is 3.1, which is </w:t>
      </w:r>
      <w:r w:rsidR="006325A6">
        <w:t>slightly smaller</w:t>
      </w:r>
      <w:r>
        <w:t xml:space="preserve"> than the Tarneit median of 3.4.</w:t>
      </w:r>
    </w:p>
    <w:p w:rsidR="00EB7987" w:rsidRPr="00EB7987" w:rsidRDefault="00EB7987" w:rsidP="00C723DB">
      <w:pPr>
        <w:pStyle w:val="Body01"/>
        <w:rPr>
          <w:b/>
        </w:rPr>
      </w:pPr>
      <w:r w:rsidRPr="00EB7987">
        <w:rPr>
          <w:b/>
        </w:rPr>
        <w:t>Tenure</w:t>
      </w:r>
    </w:p>
    <w:p w:rsidR="00EB7987" w:rsidRDefault="00E40F56" w:rsidP="00C723DB">
      <w:pPr>
        <w:pStyle w:val="Body01"/>
      </w:pPr>
      <w:r>
        <w:t xml:space="preserve">Around 1 in 5 households in the Central District are owned outright, which is slightly higher than the proportion Wyndham wide (19%). Over 43% of households in the Central District are owned with a mortgage and </w:t>
      </w:r>
      <w:r w:rsidR="006325A6">
        <w:t>almost a quarter of households (24%) are</w:t>
      </w:r>
      <w:r>
        <w:t xml:space="preserve"> rented. </w:t>
      </w:r>
    </w:p>
    <w:p w:rsidR="007A7493" w:rsidRDefault="00CC1DDF" w:rsidP="00C723DB">
      <w:pPr>
        <w:pStyle w:val="Body01"/>
        <w:rPr>
          <w:b/>
        </w:rPr>
      </w:pPr>
      <w:r w:rsidRPr="00CC1DDF">
        <w:rPr>
          <w:b/>
        </w:rPr>
        <w:t xml:space="preserve">Employment </w:t>
      </w:r>
    </w:p>
    <w:p w:rsidR="00CC1DDF" w:rsidRDefault="007A7493" w:rsidP="00C723DB">
      <w:pPr>
        <w:pStyle w:val="Body01"/>
      </w:pPr>
      <w:r>
        <w:t>38</w:t>
      </w:r>
      <w:r w:rsidR="00D57F66">
        <w:t xml:space="preserve">% of Central District residents aged 15 years and over are employed full time; </w:t>
      </w:r>
      <w:r>
        <w:t>30</w:t>
      </w:r>
      <w:r w:rsidR="00D57F66">
        <w:t>% of people are not in the labour force</w:t>
      </w:r>
      <w:r w:rsidR="00A85B09">
        <w:t xml:space="preserve"> – noting that a large proportion will be attending an educational institution</w:t>
      </w:r>
      <w:r w:rsidR="00D57F66">
        <w:t xml:space="preserve">. </w:t>
      </w:r>
      <w:r>
        <w:t xml:space="preserve">Health care and social assistance, transport, postal and warehousing and retail are the top </w:t>
      </w:r>
      <w:r w:rsidR="00D57F66">
        <w:t xml:space="preserve">3 industries of employment for residents in the Central District. </w:t>
      </w:r>
    </w:p>
    <w:p w:rsidR="009F0DF3" w:rsidRPr="006907E8" w:rsidRDefault="00670A2B" w:rsidP="00C723DB">
      <w:pPr>
        <w:pStyle w:val="Body01"/>
        <w:rPr>
          <w:b/>
        </w:rPr>
      </w:pPr>
      <w:r>
        <w:rPr>
          <w:b/>
        </w:rPr>
        <w:t>Journey to work</w:t>
      </w:r>
      <w:r w:rsidR="00B42624">
        <w:rPr>
          <w:rStyle w:val="EndnoteReference"/>
          <w:b/>
        </w:rPr>
        <w:endnoteReference w:id="2"/>
      </w:r>
      <w:r>
        <w:rPr>
          <w:b/>
        </w:rPr>
        <w:t xml:space="preserve"> </w:t>
      </w:r>
    </w:p>
    <w:p w:rsidR="006907E8" w:rsidRDefault="007A7493" w:rsidP="00C723DB">
      <w:pPr>
        <w:pStyle w:val="Body01"/>
      </w:pPr>
      <w:r>
        <w:t>Over t</w:t>
      </w:r>
      <w:r w:rsidR="006907E8">
        <w:t xml:space="preserve">wo thirds </w:t>
      </w:r>
      <w:r>
        <w:t xml:space="preserve">(68%) </w:t>
      </w:r>
      <w:r w:rsidR="006907E8">
        <w:t>of employ</w:t>
      </w:r>
      <w:r>
        <w:t>ed</w:t>
      </w:r>
      <w:r w:rsidR="006907E8">
        <w:t xml:space="preserve"> residents living in the Central District </w:t>
      </w:r>
      <w:r w:rsidR="001D0C4B">
        <w:t>drove</w:t>
      </w:r>
      <w:r w:rsidR="006907E8">
        <w:t xml:space="preserve"> their cars to work</w:t>
      </w:r>
      <w:r w:rsidR="001D0C4B">
        <w:t xml:space="preserve"> on Census day 2016, while a</w:t>
      </w:r>
      <w:r w:rsidR="006907E8">
        <w:t xml:space="preserve">round </w:t>
      </w:r>
      <w:r w:rsidR="001D0C4B">
        <w:t>13</w:t>
      </w:r>
      <w:r w:rsidR="006907E8">
        <w:t>% of peo</w:t>
      </w:r>
      <w:r w:rsidR="001D0C4B">
        <w:t>ple caught the train and 1% walked</w:t>
      </w:r>
      <w:r w:rsidR="006907E8">
        <w:t>.</w:t>
      </w:r>
    </w:p>
    <w:p w:rsidR="006907E8" w:rsidRDefault="006907E8" w:rsidP="00C723DB">
      <w:pPr>
        <w:pStyle w:val="Body01"/>
        <w:rPr>
          <w:b/>
        </w:rPr>
      </w:pPr>
      <w:r w:rsidRPr="006907E8">
        <w:rPr>
          <w:b/>
        </w:rPr>
        <w:lastRenderedPageBreak/>
        <w:t>Education</w:t>
      </w:r>
      <w:r w:rsidR="00E446B0">
        <w:rPr>
          <w:b/>
        </w:rPr>
        <w:t xml:space="preserve"> </w:t>
      </w:r>
    </w:p>
    <w:p w:rsidR="00A02588" w:rsidRDefault="00A02588" w:rsidP="00C723DB">
      <w:pPr>
        <w:pStyle w:val="Body01"/>
      </w:pPr>
      <w:r>
        <w:t xml:space="preserve">Around </w:t>
      </w:r>
      <w:r w:rsidR="00670A2B">
        <w:t>22</w:t>
      </w:r>
      <w:r>
        <w:t>% of Central District residents aged 15 years+ had obtained a bachelor degree</w:t>
      </w:r>
      <w:r w:rsidR="00670A2B">
        <w:t xml:space="preserve"> or higher</w:t>
      </w:r>
      <w:r>
        <w:t xml:space="preserve"> qualification. This is slightly lower than the proportion Wyndham wide (</w:t>
      </w:r>
      <w:r w:rsidR="00670A2B">
        <w:t>24</w:t>
      </w:r>
      <w:r>
        <w:t xml:space="preserve">%). </w:t>
      </w:r>
    </w:p>
    <w:p w:rsidR="00A02588" w:rsidRPr="00A02588" w:rsidRDefault="00A02588" w:rsidP="00C723DB">
      <w:pPr>
        <w:pStyle w:val="Body01"/>
        <w:rPr>
          <w:b/>
        </w:rPr>
      </w:pPr>
      <w:r w:rsidRPr="00A02588">
        <w:rPr>
          <w:b/>
        </w:rPr>
        <w:t xml:space="preserve">Need for assistance </w:t>
      </w:r>
    </w:p>
    <w:p w:rsidR="00A02588" w:rsidRDefault="00A02588" w:rsidP="00C723DB">
      <w:pPr>
        <w:pStyle w:val="Body01"/>
      </w:pPr>
      <w:r>
        <w:t xml:space="preserve">4% of Central District residents require assistance with core activities including communication, self-care and or body movements. </w:t>
      </w:r>
    </w:p>
    <w:p w:rsidR="00A02588" w:rsidRDefault="00A02588" w:rsidP="00C723DB">
      <w:pPr>
        <w:pStyle w:val="Body01"/>
      </w:pPr>
    </w:p>
    <w:p w:rsidR="00A02588" w:rsidRDefault="00A02588" w:rsidP="00C723DB">
      <w:pPr>
        <w:pStyle w:val="Body01"/>
      </w:pPr>
    </w:p>
    <w:p w:rsidR="00A02588" w:rsidRDefault="00A02588" w:rsidP="00C723DB">
      <w:pPr>
        <w:pStyle w:val="Body01"/>
      </w:pPr>
    </w:p>
    <w:p w:rsidR="00A02588" w:rsidRDefault="00A02588" w:rsidP="00C723DB">
      <w:pPr>
        <w:pStyle w:val="Body01"/>
      </w:pPr>
    </w:p>
    <w:p w:rsidR="00A02588" w:rsidRDefault="00A02588" w:rsidP="00C723DB">
      <w:pPr>
        <w:pStyle w:val="Body01"/>
      </w:pPr>
    </w:p>
    <w:p w:rsidR="00A02588" w:rsidRDefault="00A02588" w:rsidP="00C723DB">
      <w:pPr>
        <w:pStyle w:val="Body01"/>
      </w:pPr>
    </w:p>
    <w:p w:rsidR="00A02588" w:rsidRDefault="00A02588" w:rsidP="00C723DB">
      <w:pPr>
        <w:pStyle w:val="Body01"/>
      </w:pPr>
    </w:p>
    <w:p w:rsidR="00A02588" w:rsidRDefault="00A02588" w:rsidP="00C723DB">
      <w:pPr>
        <w:pStyle w:val="Body01"/>
      </w:pPr>
    </w:p>
    <w:p w:rsidR="00A02588" w:rsidRDefault="00A02588" w:rsidP="00C723DB">
      <w:pPr>
        <w:pStyle w:val="Body01"/>
      </w:pPr>
    </w:p>
    <w:p w:rsidR="00A02588" w:rsidRDefault="00A02588" w:rsidP="00C723DB">
      <w:pPr>
        <w:pStyle w:val="Body01"/>
      </w:pPr>
    </w:p>
    <w:p w:rsidR="00A02588" w:rsidRDefault="00A02588" w:rsidP="00C723DB">
      <w:pPr>
        <w:pStyle w:val="Body01"/>
      </w:pPr>
    </w:p>
    <w:p w:rsidR="00A02588" w:rsidRDefault="00A02588" w:rsidP="00C723DB">
      <w:pPr>
        <w:pStyle w:val="Body01"/>
      </w:pPr>
    </w:p>
    <w:p w:rsidR="00A02588" w:rsidRDefault="00A02588" w:rsidP="00C723DB">
      <w:pPr>
        <w:pStyle w:val="Body01"/>
      </w:pPr>
    </w:p>
    <w:p w:rsidR="00A02588" w:rsidRDefault="00A02588" w:rsidP="00C723DB">
      <w:pPr>
        <w:pStyle w:val="Body01"/>
      </w:pPr>
    </w:p>
    <w:p w:rsidR="00A02588" w:rsidRDefault="00A02588" w:rsidP="00C723DB">
      <w:pPr>
        <w:pStyle w:val="Body01"/>
      </w:pPr>
    </w:p>
    <w:p w:rsidR="00A02588" w:rsidRDefault="00A02588" w:rsidP="00C723DB">
      <w:pPr>
        <w:pStyle w:val="Body01"/>
      </w:pPr>
    </w:p>
    <w:p w:rsidR="00A02588" w:rsidRDefault="00A02588" w:rsidP="00C723DB">
      <w:pPr>
        <w:pStyle w:val="Body01"/>
      </w:pPr>
    </w:p>
    <w:p w:rsidR="00A02588" w:rsidRDefault="00A02588" w:rsidP="00C723DB">
      <w:pPr>
        <w:pStyle w:val="Body01"/>
      </w:pPr>
    </w:p>
    <w:p w:rsidR="00A02588" w:rsidRDefault="00A02588" w:rsidP="00C723DB">
      <w:pPr>
        <w:pStyle w:val="Body01"/>
      </w:pPr>
    </w:p>
    <w:p w:rsidR="00A02588" w:rsidRDefault="00A02588" w:rsidP="00C723DB">
      <w:pPr>
        <w:pStyle w:val="Body01"/>
      </w:pPr>
    </w:p>
    <w:p w:rsidR="00A02588" w:rsidRDefault="00A02588" w:rsidP="00C723DB">
      <w:pPr>
        <w:pStyle w:val="Body01"/>
      </w:pPr>
    </w:p>
    <w:p w:rsidR="00A02588" w:rsidRDefault="00A02588" w:rsidP="00C723DB">
      <w:pPr>
        <w:pStyle w:val="Body01"/>
      </w:pPr>
    </w:p>
    <w:p w:rsidR="00A02588" w:rsidRDefault="00A02588" w:rsidP="00C723DB">
      <w:pPr>
        <w:pStyle w:val="Body01"/>
      </w:pPr>
    </w:p>
    <w:p w:rsidR="00B42624" w:rsidRDefault="00B42624" w:rsidP="00C723DB">
      <w:pPr>
        <w:pStyle w:val="Body01"/>
      </w:pPr>
    </w:p>
    <w:p w:rsidR="00B42624" w:rsidRPr="00D67679" w:rsidRDefault="00B42624" w:rsidP="00B42624">
      <w:pPr>
        <w:pStyle w:val="Heading1"/>
        <w:rPr>
          <w:color w:val="auto"/>
          <w:sz w:val="22"/>
          <w:szCs w:val="22"/>
          <w:u w:val="single"/>
        </w:rPr>
      </w:pPr>
      <w:r w:rsidRPr="00D67679">
        <w:rPr>
          <w:color w:val="auto"/>
          <w:sz w:val="22"/>
          <w:szCs w:val="22"/>
          <w:u w:val="single"/>
        </w:rPr>
        <w:t>References</w:t>
      </w:r>
    </w:p>
    <w:p w:rsidR="00B42624" w:rsidRPr="00D67679" w:rsidRDefault="00B42624" w:rsidP="00B42624">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Australian Bureau of Statistics. (2011 and 2016). </w:t>
      </w:r>
      <w:r w:rsidRPr="00D67679">
        <w:rPr>
          <w:rFonts w:asciiTheme="majorHAnsi" w:hAnsiTheme="majorHAnsi"/>
          <w:i/>
          <w:sz w:val="16"/>
          <w:szCs w:val="16"/>
        </w:rPr>
        <w:t xml:space="preserve">Census of Population and Housing. </w:t>
      </w:r>
      <w:r w:rsidRPr="00D67679">
        <w:rPr>
          <w:rFonts w:asciiTheme="majorHAnsi" w:hAnsiTheme="majorHAnsi"/>
          <w:sz w:val="16"/>
          <w:szCs w:val="16"/>
        </w:rPr>
        <w:t xml:space="preserve">Compiled and analysed by ID Consulting </w:t>
      </w:r>
      <w:hyperlink r:id="rId11" w:history="1">
        <w:r w:rsidRPr="00D67679">
          <w:rPr>
            <w:rStyle w:val="Hyperlink"/>
            <w:rFonts w:asciiTheme="majorHAnsi" w:hAnsiTheme="majorHAnsi"/>
            <w:color w:val="auto"/>
            <w:sz w:val="16"/>
            <w:szCs w:val="16"/>
          </w:rPr>
          <w:t>http://profile.id.com.au/wyndham</w:t>
        </w:r>
      </w:hyperlink>
    </w:p>
    <w:p w:rsidR="00B42624" w:rsidRPr="00D67679" w:rsidRDefault="00B42624" w:rsidP="00B42624">
      <w:pPr>
        <w:pStyle w:val="ListParagraph"/>
        <w:numPr>
          <w:ilvl w:val="0"/>
          <w:numId w:val="1"/>
        </w:numPr>
        <w:spacing w:after="120"/>
        <w:rPr>
          <w:rFonts w:asciiTheme="majorHAnsi" w:hAnsiTheme="majorHAnsi"/>
          <w:sz w:val="16"/>
          <w:szCs w:val="16"/>
        </w:rPr>
      </w:pPr>
      <w:r w:rsidRPr="00D67679">
        <w:rPr>
          <w:rFonts w:asciiTheme="majorHAnsi" w:hAnsiTheme="majorHAnsi"/>
          <w:sz w:val="16"/>
          <w:szCs w:val="16"/>
        </w:rPr>
        <w:t xml:space="preserve">Australian Bureau of Statistics. (2011 and 2016). </w:t>
      </w:r>
      <w:r w:rsidRPr="00D67679">
        <w:rPr>
          <w:rFonts w:asciiTheme="majorHAnsi" w:hAnsiTheme="majorHAnsi"/>
          <w:i/>
          <w:sz w:val="16"/>
          <w:szCs w:val="16"/>
        </w:rPr>
        <w:t xml:space="preserve">Census of Population and Housing. </w:t>
      </w:r>
      <w:r w:rsidRPr="00D67679">
        <w:rPr>
          <w:rFonts w:asciiTheme="majorHAnsi" w:hAnsiTheme="majorHAnsi"/>
          <w:sz w:val="16"/>
          <w:szCs w:val="16"/>
        </w:rPr>
        <w:t xml:space="preserve">Compiled and analysed by Wyndham Council via Table Builder </w:t>
      </w:r>
      <w:hyperlink r:id="rId12" w:history="1">
        <w:r w:rsidRPr="00D67679">
          <w:rPr>
            <w:rStyle w:val="Hyperlink"/>
            <w:rFonts w:asciiTheme="majorHAnsi" w:hAnsiTheme="majorHAnsi"/>
            <w:color w:val="auto"/>
            <w:sz w:val="16"/>
            <w:szCs w:val="16"/>
          </w:rPr>
          <w:t>http://www.abs.gov.au/websitedbs/censushome.nsf/home/tablebuilder</w:t>
        </w:r>
      </w:hyperlink>
      <w:r w:rsidRPr="00D67679">
        <w:rPr>
          <w:rFonts w:asciiTheme="majorHAnsi" w:hAnsiTheme="majorHAnsi"/>
          <w:sz w:val="16"/>
          <w:szCs w:val="16"/>
        </w:rPr>
        <w:t xml:space="preserve">  </w:t>
      </w:r>
    </w:p>
    <w:p w:rsidR="00B42624" w:rsidRPr="00CB1B06" w:rsidRDefault="00B42624" w:rsidP="00B42624">
      <w:pPr>
        <w:pStyle w:val="ListParagraph"/>
        <w:numPr>
          <w:ilvl w:val="0"/>
          <w:numId w:val="1"/>
        </w:numPr>
        <w:spacing w:after="120"/>
        <w:rPr>
          <w:rFonts w:asciiTheme="majorHAnsi" w:hAnsiTheme="majorHAnsi"/>
          <w:sz w:val="16"/>
          <w:szCs w:val="16"/>
          <w:u w:val="single"/>
        </w:rPr>
      </w:pPr>
      <w:r w:rsidRPr="00D67679">
        <w:rPr>
          <w:rFonts w:asciiTheme="majorHAnsi" w:hAnsiTheme="majorHAnsi"/>
          <w:sz w:val="16"/>
          <w:szCs w:val="16"/>
        </w:rPr>
        <w:t xml:space="preserve">.ID Population Forecast. (2016). </w:t>
      </w:r>
      <w:r w:rsidRPr="00D67679">
        <w:rPr>
          <w:rFonts w:asciiTheme="majorHAnsi" w:hAnsiTheme="majorHAnsi"/>
          <w:i/>
          <w:sz w:val="16"/>
          <w:szCs w:val="16"/>
        </w:rPr>
        <w:t>City of Wyndham Population and Household Forecasts 201</w:t>
      </w:r>
      <w:r>
        <w:rPr>
          <w:rFonts w:asciiTheme="majorHAnsi" w:hAnsiTheme="majorHAnsi"/>
          <w:i/>
          <w:sz w:val="16"/>
          <w:szCs w:val="16"/>
        </w:rPr>
        <w:t>6</w:t>
      </w:r>
      <w:r w:rsidRPr="00D67679">
        <w:rPr>
          <w:rFonts w:asciiTheme="majorHAnsi" w:hAnsiTheme="majorHAnsi"/>
          <w:i/>
          <w:sz w:val="16"/>
          <w:szCs w:val="16"/>
        </w:rPr>
        <w:t>-2036</w:t>
      </w:r>
      <w:r w:rsidRPr="00D67679">
        <w:rPr>
          <w:rFonts w:asciiTheme="majorHAnsi" w:hAnsiTheme="majorHAnsi"/>
          <w:sz w:val="16"/>
          <w:szCs w:val="16"/>
        </w:rPr>
        <w:t xml:space="preserve">. Retrieved from </w:t>
      </w:r>
      <w:hyperlink r:id="rId13" w:history="1">
        <w:r w:rsidRPr="00D67679">
          <w:rPr>
            <w:rStyle w:val="Hyperlink"/>
            <w:rFonts w:asciiTheme="majorHAnsi" w:hAnsiTheme="majorHAnsi"/>
            <w:color w:val="auto"/>
            <w:sz w:val="16"/>
            <w:szCs w:val="16"/>
          </w:rPr>
          <w:t>http://forecast.id.com.au/wyndham</w:t>
        </w:r>
      </w:hyperlink>
    </w:p>
    <w:sectPr w:rsidR="00B42624" w:rsidRPr="00CB1B06" w:rsidSect="00E01A52">
      <w:type w:val="continuous"/>
      <w:pgSz w:w="11900" w:h="16840"/>
      <w:pgMar w:top="1625" w:right="851" w:bottom="851" w:left="851" w:header="510" w:footer="709"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EC" w:rsidRDefault="008240EC" w:rsidP="00D62CF1">
      <w:r>
        <w:separator/>
      </w:r>
    </w:p>
  </w:endnote>
  <w:endnote w:type="continuationSeparator" w:id="0">
    <w:p w:rsidR="008240EC" w:rsidRDefault="008240EC" w:rsidP="00D62CF1">
      <w:r>
        <w:continuationSeparator/>
      </w:r>
    </w:p>
  </w:endnote>
  <w:endnote w:id="1">
    <w:p w:rsidR="00B42624" w:rsidRPr="00B42624" w:rsidRDefault="00B42624">
      <w:pPr>
        <w:pStyle w:val="EndnoteText"/>
        <w:rPr>
          <w:lang w:val="en-AU"/>
        </w:rPr>
      </w:pPr>
      <w:r>
        <w:rPr>
          <w:rStyle w:val="EndnoteReference"/>
        </w:rPr>
        <w:endnoteRef/>
      </w:r>
      <w:r>
        <w:t xml:space="preserve"> </w:t>
      </w:r>
      <w:r w:rsidRPr="00F42325">
        <w:rPr>
          <w:rFonts w:asciiTheme="majorHAnsi" w:hAnsiTheme="majorHAnsi"/>
        </w:rPr>
        <w:t>.id Consulting base the 2016 population around estimates which account for the approximate 5% non-response rate in the Census and adjustments for births, deaths and net migration. As a result, the forecast 2016 population may differ from that reported in the population section of this profile.</w:t>
      </w:r>
    </w:p>
  </w:endnote>
  <w:endnote w:id="2">
    <w:p w:rsidR="00B42624" w:rsidRPr="00B42624" w:rsidRDefault="00B42624">
      <w:pPr>
        <w:pStyle w:val="EndnoteText"/>
        <w:rPr>
          <w:lang w:val="en-AU"/>
        </w:rPr>
      </w:pPr>
      <w:r>
        <w:rPr>
          <w:rStyle w:val="EndnoteReference"/>
        </w:rPr>
        <w:endnoteRef/>
      </w:r>
      <w:r>
        <w:t xml:space="preserve"> </w:t>
      </w:r>
      <w:r w:rsidRPr="00161108">
        <w:rPr>
          <w:rFonts w:asciiTheme="majorHAnsi" w:hAnsiTheme="majorHAnsi"/>
        </w:rPr>
        <w:t>Method of travel to work data includes Car as driver and train as sole method of travel, and in conjunction with other transport modes (e.g. bus, car, tram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DaxOT-Light">
    <w:panose1 w:val="0201050405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F" w:rsidRPr="0034536F" w:rsidRDefault="0034536F" w:rsidP="0034536F">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EC" w:rsidRDefault="008240EC" w:rsidP="00D62CF1">
      <w:r>
        <w:separator/>
      </w:r>
    </w:p>
  </w:footnote>
  <w:footnote w:type="continuationSeparator" w:id="0">
    <w:p w:rsidR="008240EC" w:rsidRDefault="008240EC" w:rsidP="00D6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6" w:rsidRPr="00D62CF1" w:rsidRDefault="00FC0DE6" w:rsidP="00D62CF1">
    <w:r>
      <w:rPr>
        <w:noProof/>
        <w:lang w:val="en-AU" w:eastAsia="en-AU"/>
      </w:rPr>
      <w:drawing>
        <wp:anchor distT="0" distB="0" distL="114300" distR="114300" simplePos="0" relativeHeight="251658240" behindDoc="1" locked="0" layoutInCell="1" allowOverlap="1" wp14:anchorId="7A1D50EF" wp14:editId="51B6E5AC">
          <wp:simplePos x="0" y="0"/>
          <wp:positionH relativeFrom="column">
            <wp:posOffset>-534670</wp:posOffset>
          </wp:positionH>
          <wp:positionV relativeFrom="paragraph">
            <wp:posOffset>-331190</wp:posOffset>
          </wp:positionV>
          <wp:extent cx="7562850" cy="3243532"/>
          <wp:effectExtent l="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F281B"/>
    <w:multiLevelType w:val="hybridMultilevel"/>
    <w:tmpl w:val="8BF4BC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f3f4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52"/>
    <w:rsid w:val="0004478A"/>
    <w:rsid w:val="00066BC8"/>
    <w:rsid w:val="000D338F"/>
    <w:rsid w:val="000E4083"/>
    <w:rsid w:val="000F5687"/>
    <w:rsid w:val="0010335E"/>
    <w:rsid w:val="00165D37"/>
    <w:rsid w:val="001D0C4B"/>
    <w:rsid w:val="001D2F64"/>
    <w:rsid w:val="001F62CA"/>
    <w:rsid w:val="00220144"/>
    <w:rsid w:val="00254715"/>
    <w:rsid w:val="00286067"/>
    <w:rsid w:val="0031031D"/>
    <w:rsid w:val="0034536F"/>
    <w:rsid w:val="00386175"/>
    <w:rsid w:val="003C0E22"/>
    <w:rsid w:val="003E2167"/>
    <w:rsid w:val="004141EE"/>
    <w:rsid w:val="0041664F"/>
    <w:rsid w:val="00430DB0"/>
    <w:rsid w:val="004A31FF"/>
    <w:rsid w:val="00536412"/>
    <w:rsid w:val="006325A6"/>
    <w:rsid w:val="006357F8"/>
    <w:rsid w:val="00670A2B"/>
    <w:rsid w:val="00670C3A"/>
    <w:rsid w:val="006907E8"/>
    <w:rsid w:val="006F32E8"/>
    <w:rsid w:val="0072411C"/>
    <w:rsid w:val="00757328"/>
    <w:rsid w:val="007A7493"/>
    <w:rsid w:val="007B2BEF"/>
    <w:rsid w:val="007F500D"/>
    <w:rsid w:val="007F7E71"/>
    <w:rsid w:val="008240EC"/>
    <w:rsid w:val="008358EA"/>
    <w:rsid w:val="00893A96"/>
    <w:rsid w:val="00951D17"/>
    <w:rsid w:val="00996DAF"/>
    <w:rsid w:val="009E295A"/>
    <w:rsid w:val="009F0DF3"/>
    <w:rsid w:val="00A02588"/>
    <w:rsid w:val="00A0373C"/>
    <w:rsid w:val="00A13E4F"/>
    <w:rsid w:val="00A85B09"/>
    <w:rsid w:val="00B16F22"/>
    <w:rsid w:val="00B42624"/>
    <w:rsid w:val="00BB6A5D"/>
    <w:rsid w:val="00BD1367"/>
    <w:rsid w:val="00C723DB"/>
    <w:rsid w:val="00C801D7"/>
    <w:rsid w:val="00CC1DDF"/>
    <w:rsid w:val="00D57F66"/>
    <w:rsid w:val="00D62CF1"/>
    <w:rsid w:val="00DF0D56"/>
    <w:rsid w:val="00E01A52"/>
    <w:rsid w:val="00E04F04"/>
    <w:rsid w:val="00E40F56"/>
    <w:rsid w:val="00E446B0"/>
    <w:rsid w:val="00E45D2E"/>
    <w:rsid w:val="00E60950"/>
    <w:rsid w:val="00E62FDC"/>
    <w:rsid w:val="00EB3159"/>
    <w:rsid w:val="00EB7987"/>
    <w:rsid w:val="00ED3216"/>
    <w:rsid w:val="00EF181E"/>
    <w:rsid w:val="00F4181E"/>
    <w:rsid w:val="00F82156"/>
    <w:rsid w:val="00FC0D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3f4f8"/>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A0258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character" w:customStyle="1" w:styleId="Heading1Char">
    <w:name w:val="Heading 1 Char"/>
    <w:basedOn w:val="DefaultParagraphFont"/>
    <w:link w:val="Heading1"/>
    <w:uiPriority w:val="9"/>
    <w:rsid w:val="00A0258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02588"/>
    <w:pPr>
      <w:spacing w:after="200" w:line="276"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A02588"/>
    <w:rPr>
      <w:color w:val="0000FF" w:themeColor="hyperlink"/>
      <w:u w:val="single"/>
    </w:rPr>
  </w:style>
  <w:style w:type="paragraph" w:styleId="EndnoteText">
    <w:name w:val="endnote text"/>
    <w:basedOn w:val="Normal"/>
    <w:link w:val="EndnoteTextChar"/>
    <w:uiPriority w:val="99"/>
    <w:semiHidden/>
    <w:unhideWhenUsed/>
    <w:rsid w:val="00B42624"/>
    <w:rPr>
      <w:sz w:val="20"/>
      <w:szCs w:val="20"/>
    </w:rPr>
  </w:style>
  <w:style w:type="character" w:customStyle="1" w:styleId="EndnoteTextChar">
    <w:name w:val="Endnote Text Char"/>
    <w:basedOn w:val="DefaultParagraphFont"/>
    <w:link w:val="EndnoteText"/>
    <w:uiPriority w:val="99"/>
    <w:semiHidden/>
    <w:rsid w:val="00B42624"/>
    <w:rPr>
      <w:lang w:val="en-US"/>
    </w:rPr>
  </w:style>
  <w:style w:type="character" w:styleId="EndnoteReference">
    <w:name w:val="endnote reference"/>
    <w:basedOn w:val="DefaultParagraphFont"/>
    <w:uiPriority w:val="99"/>
    <w:semiHidden/>
    <w:unhideWhenUsed/>
    <w:rsid w:val="00B426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A0258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character" w:customStyle="1" w:styleId="Heading1Char">
    <w:name w:val="Heading 1 Char"/>
    <w:basedOn w:val="DefaultParagraphFont"/>
    <w:link w:val="Heading1"/>
    <w:uiPriority w:val="9"/>
    <w:rsid w:val="00A0258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02588"/>
    <w:pPr>
      <w:spacing w:after="200" w:line="276"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A02588"/>
    <w:rPr>
      <w:color w:val="0000FF" w:themeColor="hyperlink"/>
      <w:u w:val="single"/>
    </w:rPr>
  </w:style>
  <w:style w:type="paragraph" w:styleId="EndnoteText">
    <w:name w:val="endnote text"/>
    <w:basedOn w:val="Normal"/>
    <w:link w:val="EndnoteTextChar"/>
    <w:uiPriority w:val="99"/>
    <w:semiHidden/>
    <w:unhideWhenUsed/>
    <w:rsid w:val="00B42624"/>
    <w:rPr>
      <w:sz w:val="20"/>
      <w:szCs w:val="20"/>
    </w:rPr>
  </w:style>
  <w:style w:type="character" w:customStyle="1" w:styleId="EndnoteTextChar">
    <w:name w:val="Endnote Text Char"/>
    <w:basedOn w:val="DefaultParagraphFont"/>
    <w:link w:val="EndnoteText"/>
    <w:uiPriority w:val="99"/>
    <w:semiHidden/>
    <w:rsid w:val="00B42624"/>
    <w:rPr>
      <w:lang w:val="en-US"/>
    </w:rPr>
  </w:style>
  <w:style w:type="character" w:styleId="EndnoteReference">
    <w:name w:val="endnote reference"/>
    <w:basedOn w:val="DefaultParagraphFont"/>
    <w:uiPriority w:val="99"/>
    <w:semiHidden/>
    <w:unhideWhenUsed/>
    <w:rsid w:val="00B42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orecast.id.com.au/wyndh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s.gov.au/websitedbs/censushome.nsf/home/tablebuild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file.id.com.au/wyndh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Factsheet%20No%20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895A6-EB35-4521-B81A-A1DC5F9B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Images.dotx</Template>
  <TotalTime>1</TotalTime>
  <Pages>2</Pages>
  <Words>584</Words>
  <Characters>3330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3907</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Stephanie Green</cp:lastModifiedBy>
  <cp:revision>2</cp:revision>
  <dcterms:created xsi:type="dcterms:W3CDTF">2017-11-28T22:22:00Z</dcterms:created>
  <dcterms:modified xsi:type="dcterms:W3CDTF">2017-11-28T22:22:00Z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A1839747</vt:lpwstr>
  </property>
  <property fmtid="{D5CDD505-2E9C-101B-9397-08002B2CF9AE}" pid="4" name="Objective-Title">
    <vt:lpwstr>Wyndham Districts Profiles - Central - October 2017</vt:lpwstr>
  </property>
  <property fmtid="{D5CDD505-2E9C-101B-9397-08002B2CF9AE}" pid="5" name="Objective-Comment">
    <vt:lpwstr/>
  </property>
  <property fmtid="{D5CDD505-2E9C-101B-9397-08002B2CF9AE}" pid="6" name="Objective-CreationStamp">
    <vt:filetime>2017-10-10T01:19:47Z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2017-11-24T00:26:39Z</vt:filetime>
  </property>
  <property fmtid="{D5CDD505-2E9C-101B-9397-08002B2CF9AE}" pid="10" name="Objective-ModificationStamp">
    <vt:filetime>2017-11-24T00:26:39Z</vt:filetime>
  </property>
  <property fmtid="{D5CDD505-2E9C-101B-9397-08002B2CF9AE}" pid="11" name="Objective-Owner">
    <vt:lpwstr>Stephanie Green</vt:lpwstr>
  </property>
  <property fmtid="{D5CDD505-2E9C-101B-9397-08002B2CF9AE}" pid="12" name="Objective-Path">
    <vt:lpwstr>Objective Global Folder:Corporate Management:Department - Strategy &amp; Stakeholder Engagement - Strategy &amp; Stakeholder Engagement:Research &amp; Materials:Statistics:</vt:lpwstr>
  </property>
  <property fmtid="{D5CDD505-2E9C-101B-9397-08002B2CF9AE}" pid="13" name="Objective-Parent">
    <vt:lpwstr>Statistics</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qA276698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