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095860676"/>
        <w:docPartObj>
          <w:docPartGallery w:val="Cover Pages"/>
          <w:docPartUnique/>
        </w:docPartObj>
      </w:sdtPr>
      <w:sdtEndPr/>
      <w:sdtContent>
        <w:p w:rsidR="009E4461" w:rsidRDefault="009E4461">
          <w:r>
            <w:rPr>
              <w:noProof/>
              <w:lang w:eastAsia="en-AU"/>
            </w:rPr>
            <w:drawing>
              <wp:anchor distT="0" distB="0" distL="114300" distR="114300" simplePos="0" relativeHeight="251658240" behindDoc="0" locked="0" layoutInCell="1" allowOverlap="1" wp14:anchorId="6644DA5B" wp14:editId="7A79C5E6">
                <wp:simplePos x="0" y="0"/>
                <wp:positionH relativeFrom="column">
                  <wp:posOffset>-925033</wp:posOffset>
                </wp:positionH>
                <wp:positionV relativeFrom="paragraph">
                  <wp:posOffset>-924730</wp:posOffset>
                </wp:positionV>
                <wp:extent cx="7583349" cy="10722445"/>
                <wp:effectExtent l="0" t="0" r="0" b="317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ty Life - Cover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3349" cy="10722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E4461" w:rsidRDefault="009E4461"/>
        <w:p w:rsidR="009E4461" w:rsidRDefault="009E4461"/>
        <w:p w:rsidR="009E4461" w:rsidRDefault="00710048">
          <w:r w:rsidRPr="009E4461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F4AE284" wp14:editId="26E0E66E">
                    <wp:simplePos x="0" y="0"/>
                    <wp:positionH relativeFrom="column">
                      <wp:posOffset>-495300</wp:posOffset>
                    </wp:positionH>
                    <wp:positionV relativeFrom="paragraph">
                      <wp:posOffset>6815455</wp:posOffset>
                    </wp:positionV>
                    <wp:extent cx="4331335" cy="1403985"/>
                    <wp:effectExtent l="0" t="0" r="0" b="0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31335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0C78" w:rsidRPr="00710048" w:rsidRDefault="001F0C78" w:rsidP="009E4461">
                                <w:pPr>
                                  <w:jc w:val="both"/>
                                  <w:rPr>
                                    <w:rFonts w:ascii="DaxOT-Regular" w:hAnsi="DaxOT-Regular"/>
                                    <w:color w:val="17365D" w:themeColor="text2" w:themeShade="BF"/>
                                    <w:sz w:val="44"/>
                                    <w:szCs w:val="44"/>
                                  </w:rPr>
                                </w:pPr>
                                <w:r w:rsidRPr="00710048">
                                  <w:rPr>
                                    <w:rFonts w:ascii="DaxOT-Regular" w:hAnsi="DaxOT-Regular"/>
                                    <w:color w:val="17365D" w:themeColor="text2" w:themeShade="BF"/>
                                    <w:sz w:val="44"/>
                                    <w:szCs w:val="44"/>
                                  </w:rPr>
                                  <w:t>Ages 12- 25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39pt;margin-top:536.65pt;width:341.0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" filled="f" stroked="f">
                    <v:textbox style="mso-fit-shape-to-text:t">
                      <w:txbxContent>
                        <w:p w:rsidR="001F0C78" w:rsidRPr="00710048" w:rsidRDefault="001F0C78" w:rsidP="009E4461">
                          <w:pPr>
                            <w:jc w:val="both"/>
                            <w:rPr>
                              <w:rFonts w:ascii="DaxOT-Regular" w:hAnsi="DaxOT-Regular"/>
                              <w:color w:val="17365D" w:themeColor="text2" w:themeShade="BF"/>
                              <w:sz w:val="44"/>
                              <w:szCs w:val="44"/>
                            </w:rPr>
                          </w:pPr>
                          <w:r w:rsidRPr="00710048">
                            <w:rPr>
                              <w:rFonts w:ascii="DaxOT-Regular" w:hAnsi="DaxOT-Regular"/>
                              <w:color w:val="17365D" w:themeColor="text2" w:themeShade="BF"/>
                              <w:sz w:val="44"/>
                              <w:szCs w:val="44"/>
                            </w:rPr>
                            <w:t>Ages 12- 25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9E4461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815BCE7" wp14:editId="04FCBF7D">
                    <wp:simplePos x="0" y="0"/>
                    <wp:positionH relativeFrom="column">
                      <wp:posOffset>-521335</wp:posOffset>
                    </wp:positionH>
                    <wp:positionV relativeFrom="paragraph">
                      <wp:posOffset>6069212</wp:posOffset>
                    </wp:positionV>
                    <wp:extent cx="6256020" cy="903605"/>
                    <wp:effectExtent l="0" t="0" r="0" b="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56020" cy="9036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0C78" w:rsidRPr="002D26EB" w:rsidRDefault="001F0C78" w:rsidP="009E4461">
                                <w:pPr>
                                  <w:pStyle w:val="Footer"/>
                                  <w:rPr>
                                    <w:rFonts w:ascii="Calibri Light" w:eastAsiaTheme="majorEastAsia" w:hAnsi="Calibri Light" w:cstheme="majorBidi"/>
                                    <w:b/>
                                    <w:color w:val="00206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alibri Light" w:eastAsiaTheme="majorEastAsia" w:hAnsi="Calibri Light" w:cstheme="majorBidi"/>
                                    <w:b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Youth Profile </w:t>
                                </w:r>
                              </w:p>
                              <w:p w:rsidR="001F0C78" w:rsidRPr="003C2A03" w:rsidRDefault="001F0C78" w:rsidP="009E4461">
                                <w:pPr>
                                  <w:rPr>
                                    <w:rFonts w:ascii="DaxOT-Medium" w:hAnsi="DaxOT-Medium"/>
                                    <w:color w:val="7030A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-41.05pt;margin-top:477.9pt;width:492.6pt;height:7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" filled="f" stroked="f">
                    <v:textbox>
                      <w:txbxContent>
                        <w:p w:rsidR="001F0C78" w:rsidRPr="002D26EB" w:rsidRDefault="001F0C78" w:rsidP="009E4461">
                          <w:pPr>
                            <w:pStyle w:val="Footer"/>
                            <w:rPr>
                              <w:rFonts w:ascii="Calibri Light" w:eastAsiaTheme="majorEastAsia" w:hAnsi="Calibri Light" w:cstheme="majorBidi"/>
                              <w:b/>
                              <w:color w:val="00206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alibri Light" w:eastAsiaTheme="majorEastAsia" w:hAnsi="Calibri Light" w:cstheme="majorBidi"/>
                              <w:b/>
                              <w:color w:val="002060"/>
                              <w:sz w:val="72"/>
                              <w:szCs w:val="72"/>
                            </w:rPr>
                            <w:t xml:space="preserve">Youth Profile </w:t>
                          </w:r>
                        </w:p>
                        <w:p w:rsidR="001F0C78" w:rsidRPr="003C2A03" w:rsidRDefault="001F0C78" w:rsidP="009E4461">
                          <w:pPr>
                            <w:rPr>
                              <w:rFonts w:ascii="DaxOT-Medium" w:hAnsi="DaxOT-Medium"/>
                              <w:color w:val="7030A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9E4461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AU" w:eastAsia="en-US"/>
        </w:rPr>
        <w:id w:val="41560206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2A0788" w:rsidRDefault="002A0788" w:rsidP="002A0788">
          <w:pPr>
            <w:pStyle w:val="TOCHeading"/>
          </w:pPr>
          <w:r>
            <w:t>Contents</w:t>
          </w:r>
        </w:p>
        <w:p w:rsidR="001F09B2" w:rsidRDefault="002A078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9040143" w:history="1">
            <w:r w:rsidR="001F09B2" w:rsidRPr="00982025">
              <w:rPr>
                <w:rStyle w:val="Hyperlink"/>
                <w:noProof/>
              </w:rPr>
              <w:t>Executive Summary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_Toc499040143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2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:rsidR="001F09B2" w:rsidRDefault="000A346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44" w:history="1">
            <w:r w:rsidR="001F09B2" w:rsidRPr="00982025">
              <w:rPr>
                <w:rStyle w:val="Hyperlink"/>
                <w:noProof/>
              </w:rPr>
              <w:t>Demographics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_Toc499040144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3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:rsidR="001F09B2" w:rsidRDefault="000A346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45" w:history="1">
            <w:r w:rsidR="001F09B2" w:rsidRPr="00982025">
              <w:rPr>
                <w:rStyle w:val="Hyperlink"/>
                <w:noProof/>
              </w:rPr>
              <w:t>Population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_Toc499040145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3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:rsidR="001F09B2" w:rsidRDefault="000A346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46" w:history="1">
            <w:r w:rsidR="001F09B2" w:rsidRPr="00982025">
              <w:rPr>
                <w:rStyle w:val="Hyperlink"/>
                <w:noProof/>
              </w:rPr>
              <w:t>Population Forecast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_Toc499040146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3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:rsidR="001F09B2" w:rsidRDefault="000A346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47" w:history="1">
            <w:r w:rsidR="001F09B2" w:rsidRPr="00982025">
              <w:rPr>
                <w:rStyle w:val="Hyperlink"/>
                <w:noProof/>
              </w:rPr>
              <w:t>Cultural Diversity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_Toc499040147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0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:rsidR="001F09B2" w:rsidRDefault="000A346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48" w:history="1">
            <w:r w:rsidR="001F09B2" w:rsidRPr="00982025">
              <w:rPr>
                <w:rStyle w:val="Hyperlink"/>
                <w:noProof/>
              </w:rPr>
              <w:t>Indigenous residents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_Toc499040148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0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:rsidR="001F09B2" w:rsidRDefault="000A346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49" w:history="1">
            <w:r w:rsidR="001F09B2" w:rsidRPr="00982025">
              <w:rPr>
                <w:rStyle w:val="Hyperlink"/>
                <w:noProof/>
              </w:rPr>
              <w:t>Country of birth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_Toc499040149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0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:rsidR="001F09B2" w:rsidRDefault="000A346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50" w:history="1">
            <w:r w:rsidR="001F09B2" w:rsidRPr="00982025">
              <w:rPr>
                <w:rStyle w:val="Hyperlink"/>
                <w:noProof/>
              </w:rPr>
              <w:t>Language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_Toc499040150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1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:rsidR="001F09B2" w:rsidRDefault="000A346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51" w:history="1">
            <w:r w:rsidR="001F09B2" w:rsidRPr="00982025">
              <w:rPr>
                <w:rStyle w:val="Hyperlink"/>
                <w:noProof/>
              </w:rPr>
              <w:t>English proficiency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_Toc499040151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2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:rsidR="001F09B2" w:rsidRDefault="000A346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52" w:history="1">
            <w:r w:rsidR="001F09B2" w:rsidRPr="00982025">
              <w:rPr>
                <w:rStyle w:val="Hyperlink"/>
                <w:noProof/>
              </w:rPr>
              <w:t>Religion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_Toc499040152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3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:rsidR="001F09B2" w:rsidRDefault="000A346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53" w:history="1">
            <w:r w:rsidR="001F09B2" w:rsidRPr="00982025">
              <w:rPr>
                <w:rStyle w:val="Hyperlink"/>
                <w:noProof/>
              </w:rPr>
              <w:t>Education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_Toc499040153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4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:rsidR="001F09B2" w:rsidRDefault="000A346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54" w:history="1">
            <w:r w:rsidR="001F09B2" w:rsidRPr="00982025">
              <w:rPr>
                <w:rStyle w:val="Hyperlink"/>
                <w:noProof/>
              </w:rPr>
              <w:t>High School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_Toc499040154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4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:rsidR="001F09B2" w:rsidRDefault="000A346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55" w:history="1">
            <w:r w:rsidR="001F09B2" w:rsidRPr="00982025">
              <w:rPr>
                <w:rStyle w:val="Hyperlink"/>
                <w:noProof/>
              </w:rPr>
              <w:t>Employment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_Toc499040155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5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:rsidR="001F09B2" w:rsidRDefault="000A346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56" w:history="1">
            <w:r w:rsidR="001F09B2" w:rsidRPr="00982025">
              <w:rPr>
                <w:rStyle w:val="Hyperlink"/>
                <w:noProof/>
              </w:rPr>
              <w:t>Social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_Toc499040156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7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:rsidR="001F09B2" w:rsidRDefault="000A346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57" w:history="1">
            <w:r w:rsidR="001F09B2" w:rsidRPr="00982025">
              <w:rPr>
                <w:rStyle w:val="Hyperlink"/>
                <w:noProof/>
              </w:rPr>
              <w:t>References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_Toc499040157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8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:rsidR="002A0788" w:rsidRDefault="002A0788" w:rsidP="002A0788">
          <w:r>
            <w:rPr>
              <w:b/>
              <w:bCs/>
              <w:noProof/>
            </w:rPr>
            <w:fldChar w:fldCharType="end"/>
          </w:r>
        </w:p>
      </w:sdtContent>
    </w:sdt>
    <w:p w:rsidR="002A0788" w:rsidRDefault="002A0788" w:rsidP="002A0788">
      <w:pPr>
        <w:pStyle w:val="Heading3"/>
        <w:rPr>
          <w:color w:val="5F497A" w:themeColor="accent4" w:themeShade="BF"/>
        </w:rPr>
      </w:pPr>
    </w:p>
    <w:p w:rsidR="008A3631" w:rsidRDefault="008A3631" w:rsidP="002A0788">
      <w:pPr>
        <w:pStyle w:val="Heading1"/>
      </w:pPr>
    </w:p>
    <w:p w:rsidR="008A3631" w:rsidRDefault="008A3631" w:rsidP="008A3631"/>
    <w:p w:rsidR="008A3631" w:rsidRDefault="008A3631" w:rsidP="008A3631"/>
    <w:p w:rsidR="008A3631" w:rsidRDefault="008A3631" w:rsidP="002A0788">
      <w:pPr>
        <w:pStyle w:val="Heading1"/>
      </w:pPr>
    </w:p>
    <w:p w:rsidR="008A3631" w:rsidRDefault="008A3631" w:rsidP="002A0788">
      <w:pPr>
        <w:pStyle w:val="Heading1"/>
      </w:pPr>
    </w:p>
    <w:p w:rsidR="008A3631" w:rsidRDefault="008A3631" w:rsidP="008A3631"/>
    <w:p w:rsidR="008A3631" w:rsidRDefault="008A3631" w:rsidP="008A3631"/>
    <w:p w:rsidR="008A3631" w:rsidRDefault="008A3631" w:rsidP="002A0788">
      <w:pPr>
        <w:pStyle w:val="Heading1"/>
      </w:pPr>
    </w:p>
    <w:p w:rsidR="0062594C" w:rsidRDefault="0062594C" w:rsidP="0062594C">
      <w:bookmarkStart w:id="1" w:name="_Toc499040143"/>
    </w:p>
    <w:p w:rsidR="002A0788" w:rsidRDefault="00710048" w:rsidP="002A0788">
      <w:pPr>
        <w:pStyle w:val="Heading1"/>
      </w:pPr>
      <w:r>
        <w:lastRenderedPageBreak/>
        <w:t>E</w:t>
      </w:r>
      <w:r w:rsidR="002A0788">
        <w:t>xecutive Summary</w:t>
      </w:r>
      <w:bookmarkEnd w:id="1"/>
      <w:r w:rsidR="002A0788">
        <w:t xml:space="preserve"> </w:t>
      </w:r>
    </w:p>
    <w:p w:rsidR="002A0788" w:rsidRDefault="00F95EF9" w:rsidP="002A0788">
      <w:r>
        <w:t xml:space="preserve">Wyndham has a youth population of around 37,000 people, amounting to </w:t>
      </w:r>
      <w:r w:rsidR="00003C5A">
        <w:t>approximately</w:t>
      </w:r>
      <w:r>
        <w:t xml:space="preserve"> 17% of Wyndham’s total population. </w:t>
      </w:r>
    </w:p>
    <w:p w:rsidR="002A0788" w:rsidRDefault="00F95EF9" w:rsidP="002A0788">
      <w:r>
        <w:t xml:space="preserve">The youth population is set to almost double by 2036, with the 12-17 year age cohort experiencing the fastest growth. </w:t>
      </w:r>
    </w:p>
    <w:p w:rsidR="00F95EF9" w:rsidRDefault="002A0788" w:rsidP="00F95EF9">
      <w:r>
        <w:t>Young Indigenous residents account for approximately 2.6% of the total youth population.</w:t>
      </w:r>
      <w:r w:rsidR="00F95EF9">
        <w:t xml:space="preserve"> This is a substantial increase from 2011, when this was 1.1%.</w:t>
      </w:r>
    </w:p>
    <w:p w:rsidR="002A0788" w:rsidRDefault="00DA008C" w:rsidP="002A0788">
      <w:r>
        <w:t>Wyndham’s youth population is more culturally diverse than the youth population across Greater Melbourne.</w:t>
      </w:r>
      <w:r w:rsidRPr="00633488">
        <w:t xml:space="preserve"> </w:t>
      </w:r>
      <w:r w:rsidR="002A0788">
        <w:t>In 2016, a third of 12-25 year olds</w:t>
      </w:r>
      <w:r>
        <w:t xml:space="preserve"> (33%)</w:t>
      </w:r>
      <w:r w:rsidR="002A0788">
        <w:t xml:space="preserve"> in Wyndham were born overseas compared to 26% of young people in Greater Melbourne.</w:t>
      </w:r>
    </w:p>
    <w:p w:rsidR="002A0788" w:rsidRDefault="002A0788" w:rsidP="002A0788">
      <w:pPr>
        <w:rPr>
          <w:rFonts w:eastAsia="Times New Roman" w:cs="Arial"/>
          <w:lang w:eastAsia="en-AU"/>
        </w:rPr>
      </w:pPr>
      <w:r w:rsidRPr="005F1644">
        <w:rPr>
          <w:rFonts w:eastAsia="Times New Roman" w:cs="Arial"/>
          <w:lang w:eastAsia="en-AU"/>
        </w:rPr>
        <w:t xml:space="preserve">India, New Zealand, China and the Philippines feature in the top 5 </w:t>
      </w:r>
      <w:r>
        <w:rPr>
          <w:rFonts w:eastAsia="Times New Roman" w:cs="Arial"/>
          <w:lang w:eastAsia="en-AU"/>
        </w:rPr>
        <w:t>most common countries of b</w:t>
      </w:r>
      <w:r w:rsidR="00003C5A">
        <w:rPr>
          <w:rFonts w:eastAsia="Times New Roman" w:cs="Arial"/>
          <w:lang w:eastAsia="en-AU"/>
        </w:rPr>
        <w:t>irt</w:t>
      </w:r>
      <w:r>
        <w:rPr>
          <w:rFonts w:eastAsia="Times New Roman" w:cs="Arial"/>
          <w:lang w:eastAsia="en-AU"/>
        </w:rPr>
        <w:t xml:space="preserve">h outside Australia for Wyndham and Greater Melbourne 12-17 year olds. </w:t>
      </w:r>
      <w:r w:rsidR="00DA008C">
        <w:rPr>
          <w:rFonts w:eastAsia="Times New Roman" w:cs="Arial"/>
          <w:lang w:eastAsia="en-AU"/>
        </w:rPr>
        <w:t>The fifth most common country of birth in Wyndham is Thailand.</w:t>
      </w:r>
    </w:p>
    <w:p w:rsidR="002A0788" w:rsidRDefault="002A0788" w:rsidP="002A0788">
      <w:r>
        <w:t xml:space="preserve">Over 100 languages are spoken by young people in Wyndham and a third (33%) of people </w:t>
      </w:r>
      <w:r w:rsidR="00003C5A">
        <w:t>speaks</w:t>
      </w:r>
      <w:r>
        <w:t xml:space="preserve"> a language other than English.</w:t>
      </w:r>
    </w:p>
    <w:p w:rsidR="00121365" w:rsidRDefault="002A0788" w:rsidP="00121365">
      <w:r>
        <w:t>According to 2016 Census data, religious affiliation is more common amongst Wyndham young people compared to young people across Great</w:t>
      </w:r>
      <w:r w:rsidR="00A06286">
        <w:t>er Melbourne.</w:t>
      </w:r>
    </w:p>
    <w:p w:rsidR="002A0788" w:rsidRDefault="00A06286" w:rsidP="002A0788">
      <w:pPr>
        <w:rPr>
          <w:rFonts w:eastAsia="Times New Roman" w:cs="Arial"/>
          <w:bCs/>
          <w:lang w:eastAsia="en-AU"/>
        </w:rPr>
      </w:pPr>
      <w:r>
        <w:t xml:space="preserve">Educational attainment of young people in Wyndham </w:t>
      </w:r>
      <w:r>
        <w:rPr>
          <w:rFonts w:eastAsia="Times New Roman" w:cs="Arial"/>
          <w:bCs/>
          <w:lang w:eastAsia="en-AU"/>
        </w:rPr>
        <w:t xml:space="preserve">is </w:t>
      </w:r>
      <w:r w:rsidRPr="00654429">
        <w:rPr>
          <w:rFonts w:eastAsia="Times New Roman" w:cs="Arial"/>
          <w:bCs/>
          <w:lang w:eastAsia="en-AU"/>
        </w:rPr>
        <w:t xml:space="preserve">lower than </w:t>
      </w:r>
      <w:r>
        <w:rPr>
          <w:rFonts w:eastAsia="Times New Roman" w:cs="Arial"/>
          <w:bCs/>
          <w:lang w:eastAsia="en-AU"/>
        </w:rPr>
        <w:t xml:space="preserve">that of young people </w:t>
      </w:r>
      <w:r w:rsidRPr="00654429">
        <w:rPr>
          <w:rFonts w:eastAsia="Times New Roman" w:cs="Arial"/>
          <w:bCs/>
          <w:lang w:eastAsia="en-AU"/>
        </w:rPr>
        <w:t>across Greater Melbourne</w:t>
      </w:r>
      <w:r>
        <w:rPr>
          <w:rFonts w:eastAsia="Times New Roman" w:cs="Arial"/>
          <w:bCs/>
          <w:lang w:eastAsia="en-AU"/>
        </w:rPr>
        <w:t xml:space="preserve"> when it comes to high school and tertiary degrees.</w:t>
      </w:r>
    </w:p>
    <w:p w:rsidR="002A0788" w:rsidRDefault="002A0788" w:rsidP="002A0788">
      <w:r>
        <w:t>Employment rates amongst young people are similar in Wyndham</w:t>
      </w:r>
      <w:r w:rsidR="00A06286">
        <w:t xml:space="preserve"> (53.4%)</w:t>
      </w:r>
      <w:r>
        <w:t xml:space="preserve"> and Greater Melbourne</w:t>
      </w:r>
      <w:r w:rsidR="00A06286">
        <w:t xml:space="preserve"> (53.7%)</w:t>
      </w:r>
      <w:r>
        <w:t>.</w:t>
      </w:r>
    </w:p>
    <w:p w:rsidR="002A0788" w:rsidRDefault="002A0788" w:rsidP="002A0788">
      <w:r>
        <w:t>The proportion of young people walking or taking public transport to work is higher in Greater Melbourne compared to Wyndham.</w:t>
      </w:r>
    </w:p>
    <w:p w:rsidR="002A0788" w:rsidRDefault="001538F7" w:rsidP="002A0788">
      <w:pPr>
        <w:rPr>
          <w:rFonts w:ascii="Calibri" w:eastAsia="Times New Roman" w:hAnsi="Calibri" w:cs="Times New Roman"/>
          <w:color w:val="000000"/>
          <w:lang w:eastAsia="en-AU"/>
        </w:rPr>
      </w:pPr>
      <w:r>
        <w:rPr>
          <w:rFonts w:ascii="Calibri" w:eastAsia="Times New Roman" w:hAnsi="Calibri" w:cs="Times New Roman"/>
          <w:color w:val="000000"/>
          <w:lang w:eastAsia="en-AU"/>
        </w:rPr>
        <w:t xml:space="preserve">Around 7% of </w:t>
      </w:r>
      <w:r w:rsidR="00A60490">
        <w:rPr>
          <w:rFonts w:ascii="Calibri" w:eastAsia="Times New Roman" w:hAnsi="Calibri" w:cs="Times New Roman"/>
          <w:color w:val="000000"/>
          <w:lang w:eastAsia="en-AU"/>
        </w:rPr>
        <w:t>Wyndham</w:t>
      </w:r>
      <w:r>
        <w:rPr>
          <w:rFonts w:ascii="Calibri" w:eastAsia="Times New Roman" w:hAnsi="Calibri" w:cs="Times New Roman"/>
          <w:color w:val="000000"/>
          <w:lang w:eastAsia="en-AU"/>
        </w:rPr>
        <w:t xml:space="preserve"> young people are disengaged from education and employment, compared to 5% across Greater Melbourne</w:t>
      </w:r>
      <w:r w:rsidR="00A60490">
        <w:rPr>
          <w:rFonts w:ascii="Calibri" w:eastAsia="Times New Roman" w:hAnsi="Calibri" w:cs="Times New Roman"/>
          <w:color w:val="000000"/>
          <w:lang w:eastAsia="en-AU"/>
        </w:rPr>
        <w:t xml:space="preserve">. </w:t>
      </w:r>
    </w:p>
    <w:p w:rsidR="008A3631" w:rsidRPr="002A0788" w:rsidRDefault="001538F7" w:rsidP="002A0788">
      <w:r>
        <w:t>Compared to Greater Melbourne, a</w:t>
      </w:r>
      <w:r w:rsidR="00A60490">
        <w:t xml:space="preserve"> slightly larger proportion of young people in Wyndham require assistance with core activities </w:t>
      </w:r>
      <w:r>
        <w:t>such as</w:t>
      </w:r>
      <w:r w:rsidR="00A60490">
        <w:t xml:space="preserve"> communication and self-care</w:t>
      </w:r>
      <w:r>
        <w:t>.</w:t>
      </w:r>
      <w:r w:rsidR="00A60490">
        <w:t xml:space="preserve"> </w:t>
      </w:r>
    </w:p>
    <w:p w:rsidR="008A3631" w:rsidRDefault="008A3631" w:rsidP="002A0788">
      <w:pPr>
        <w:pStyle w:val="Heading2"/>
        <w:rPr>
          <w:color w:val="365F91" w:themeColor="accent1" w:themeShade="BF"/>
        </w:rPr>
      </w:pPr>
    </w:p>
    <w:p w:rsidR="008A3631" w:rsidRDefault="008A3631" w:rsidP="002A0788">
      <w:pPr>
        <w:pStyle w:val="Heading2"/>
        <w:rPr>
          <w:color w:val="365F91" w:themeColor="accent1" w:themeShade="BF"/>
        </w:rPr>
      </w:pPr>
    </w:p>
    <w:p w:rsidR="008A3631" w:rsidRDefault="008A3631" w:rsidP="008A3631"/>
    <w:p w:rsidR="008A3631" w:rsidRDefault="008A3631" w:rsidP="008A3631"/>
    <w:p w:rsidR="002744EB" w:rsidRDefault="002744EB" w:rsidP="002744EB">
      <w:pPr>
        <w:pStyle w:val="Heading1"/>
      </w:pPr>
      <w:bookmarkStart w:id="2" w:name="_Toc499040144"/>
      <w:r>
        <w:lastRenderedPageBreak/>
        <w:t>Demographics</w:t>
      </w:r>
      <w:bookmarkEnd w:id="2"/>
    </w:p>
    <w:p w:rsidR="002A0788" w:rsidRPr="002A0788" w:rsidRDefault="002A0788" w:rsidP="002A0788">
      <w:pPr>
        <w:pStyle w:val="Heading2"/>
        <w:rPr>
          <w:color w:val="365F91" w:themeColor="accent1" w:themeShade="BF"/>
        </w:rPr>
      </w:pPr>
      <w:bookmarkStart w:id="3" w:name="_Toc499040145"/>
      <w:r w:rsidRPr="002A0788">
        <w:rPr>
          <w:color w:val="365F91" w:themeColor="accent1" w:themeShade="BF"/>
        </w:rPr>
        <w:t>Population</w:t>
      </w:r>
      <w:bookmarkEnd w:id="3"/>
      <w:r w:rsidRPr="002A0788">
        <w:rPr>
          <w:color w:val="365F91" w:themeColor="accent1" w:themeShade="BF"/>
        </w:rPr>
        <w:t xml:space="preserve"> </w:t>
      </w:r>
    </w:p>
    <w:p w:rsidR="002A0788" w:rsidRPr="00331325" w:rsidRDefault="002A0788" w:rsidP="002A0788">
      <w:pPr>
        <w:rPr>
          <w:b/>
        </w:rPr>
      </w:pPr>
      <w:r>
        <w:rPr>
          <w:b/>
        </w:rPr>
        <w:t>Table 1</w:t>
      </w:r>
      <w:r w:rsidR="00BD5F84">
        <w:rPr>
          <w:b/>
        </w:rPr>
        <w:t>:</w:t>
      </w:r>
      <w:r>
        <w:rPr>
          <w:b/>
        </w:rPr>
        <w:t xml:space="preserve"> Population, 2016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202"/>
        <w:gridCol w:w="1767"/>
        <w:gridCol w:w="1701"/>
        <w:gridCol w:w="3119"/>
      </w:tblGrid>
      <w:tr w:rsidR="002A0788" w:rsidTr="003B6581">
        <w:tc>
          <w:tcPr>
            <w:tcW w:w="2202" w:type="dxa"/>
            <w:shd w:val="clear" w:color="auto" w:fill="365F91" w:themeFill="accent1" w:themeFillShade="BF"/>
          </w:tcPr>
          <w:p w:rsidR="002A0788" w:rsidRPr="002A0788" w:rsidRDefault="002A0788" w:rsidP="002A0788">
            <w:pPr>
              <w:rPr>
                <w:b/>
                <w:color w:val="FFFFFF" w:themeColor="background1"/>
              </w:rPr>
            </w:pPr>
          </w:p>
        </w:tc>
        <w:tc>
          <w:tcPr>
            <w:tcW w:w="3468" w:type="dxa"/>
            <w:gridSpan w:val="2"/>
            <w:shd w:val="clear" w:color="auto" w:fill="365F91" w:themeFill="accent1" w:themeFillShade="BF"/>
          </w:tcPr>
          <w:p w:rsidR="002A0788" w:rsidRPr="002A0788" w:rsidRDefault="002A0788" w:rsidP="002A0788">
            <w:pPr>
              <w:jc w:val="center"/>
              <w:rPr>
                <w:b/>
                <w:color w:val="FFFFFF" w:themeColor="background1"/>
              </w:rPr>
            </w:pPr>
            <w:r w:rsidRPr="002A0788">
              <w:rPr>
                <w:b/>
                <w:color w:val="FFFFFF" w:themeColor="background1"/>
              </w:rPr>
              <w:t>Wyndham</w:t>
            </w:r>
          </w:p>
        </w:tc>
        <w:tc>
          <w:tcPr>
            <w:tcW w:w="3119" w:type="dxa"/>
            <w:shd w:val="clear" w:color="auto" w:fill="365F91" w:themeFill="accent1" w:themeFillShade="BF"/>
          </w:tcPr>
          <w:p w:rsidR="002A0788" w:rsidRPr="002A0788" w:rsidRDefault="002A0788" w:rsidP="002A0788">
            <w:pPr>
              <w:jc w:val="center"/>
              <w:rPr>
                <w:b/>
                <w:color w:val="FFFFFF" w:themeColor="background1"/>
              </w:rPr>
            </w:pPr>
            <w:r w:rsidRPr="002A0788">
              <w:rPr>
                <w:b/>
                <w:color w:val="FFFFFF" w:themeColor="background1"/>
              </w:rPr>
              <w:t>Greater Melbourne</w:t>
            </w:r>
          </w:p>
        </w:tc>
      </w:tr>
      <w:tr w:rsidR="002A0788" w:rsidTr="00101365">
        <w:tc>
          <w:tcPr>
            <w:tcW w:w="2202" w:type="dxa"/>
            <w:shd w:val="clear" w:color="auto" w:fill="365F91" w:themeFill="accent1" w:themeFillShade="BF"/>
          </w:tcPr>
          <w:p w:rsidR="002A0788" w:rsidRPr="002A0788" w:rsidRDefault="002A0788" w:rsidP="002A0788">
            <w:pPr>
              <w:rPr>
                <w:b/>
                <w:color w:val="FFFFFF" w:themeColor="background1"/>
              </w:rPr>
            </w:pPr>
          </w:p>
        </w:tc>
        <w:tc>
          <w:tcPr>
            <w:tcW w:w="1767" w:type="dxa"/>
            <w:shd w:val="clear" w:color="auto" w:fill="365F91" w:themeFill="accent1" w:themeFillShade="BF"/>
            <w:vAlign w:val="center"/>
          </w:tcPr>
          <w:p w:rsidR="002A0788" w:rsidRPr="002A0788" w:rsidRDefault="002A0788" w:rsidP="00101365">
            <w:pPr>
              <w:jc w:val="center"/>
              <w:rPr>
                <w:b/>
                <w:color w:val="FFFFFF" w:themeColor="background1"/>
              </w:rPr>
            </w:pPr>
            <w:r w:rsidRPr="002A0788">
              <w:rPr>
                <w:b/>
                <w:color w:val="FFFFFF" w:themeColor="background1"/>
              </w:rPr>
              <w:t>N</w:t>
            </w:r>
          </w:p>
        </w:tc>
        <w:tc>
          <w:tcPr>
            <w:tcW w:w="1701" w:type="dxa"/>
            <w:shd w:val="clear" w:color="auto" w:fill="365F91" w:themeFill="accent1" w:themeFillShade="BF"/>
            <w:vAlign w:val="center"/>
          </w:tcPr>
          <w:p w:rsidR="002A0788" w:rsidRPr="002A0788" w:rsidRDefault="002A0788" w:rsidP="00101365">
            <w:pPr>
              <w:jc w:val="center"/>
              <w:rPr>
                <w:b/>
                <w:color w:val="FFFFFF" w:themeColor="background1"/>
              </w:rPr>
            </w:pPr>
            <w:r w:rsidRPr="002A0788">
              <w:rPr>
                <w:b/>
                <w:color w:val="FFFFFF" w:themeColor="background1"/>
              </w:rPr>
              <w:t>%</w:t>
            </w:r>
            <w:r w:rsidR="003B6581">
              <w:rPr>
                <w:b/>
                <w:color w:val="FFFFFF" w:themeColor="background1"/>
              </w:rPr>
              <w:t xml:space="preserve"> total population</w:t>
            </w:r>
          </w:p>
        </w:tc>
        <w:tc>
          <w:tcPr>
            <w:tcW w:w="3119" w:type="dxa"/>
            <w:shd w:val="clear" w:color="auto" w:fill="365F91" w:themeFill="accent1" w:themeFillShade="BF"/>
            <w:vAlign w:val="center"/>
          </w:tcPr>
          <w:p w:rsidR="002A0788" w:rsidRPr="002A0788" w:rsidRDefault="002A0788" w:rsidP="00101365">
            <w:pPr>
              <w:jc w:val="center"/>
              <w:rPr>
                <w:b/>
                <w:color w:val="FFFFFF" w:themeColor="background1"/>
              </w:rPr>
            </w:pPr>
            <w:r w:rsidRPr="002A0788">
              <w:rPr>
                <w:b/>
                <w:color w:val="FFFFFF" w:themeColor="background1"/>
              </w:rPr>
              <w:t>%</w:t>
            </w:r>
            <w:r w:rsidR="003B6581">
              <w:rPr>
                <w:b/>
                <w:color w:val="FFFFFF" w:themeColor="background1"/>
              </w:rPr>
              <w:t xml:space="preserve"> total population</w:t>
            </w:r>
          </w:p>
        </w:tc>
      </w:tr>
      <w:tr w:rsidR="002A0788" w:rsidTr="003B6581">
        <w:tc>
          <w:tcPr>
            <w:tcW w:w="2202" w:type="dxa"/>
          </w:tcPr>
          <w:p w:rsidR="002A0788" w:rsidRPr="00331325" w:rsidRDefault="002A0788" w:rsidP="002A0788">
            <w:pPr>
              <w:rPr>
                <w:b/>
              </w:rPr>
            </w:pPr>
            <w:r w:rsidRPr="00331325">
              <w:rPr>
                <w:b/>
              </w:rPr>
              <w:t>12-17 years</w:t>
            </w:r>
          </w:p>
        </w:tc>
        <w:tc>
          <w:tcPr>
            <w:tcW w:w="1767" w:type="dxa"/>
            <w:vAlign w:val="bottom"/>
          </w:tcPr>
          <w:p w:rsidR="002A0788" w:rsidRDefault="002A0788" w:rsidP="002A07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15,766</w:t>
            </w:r>
          </w:p>
        </w:tc>
        <w:tc>
          <w:tcPr>
            <w:tcW w:w="1701" w:type="dxa"/>
            <w:vAlign w:val="bottom"/>
          </w:tcPr>
          <w:p w:rsidR="002A0788" w:rsidRDefault="002A0788" w:rsidP="002A07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7.26%</w:t>
            </w:r>
          </w:p>
        </w:tc>
        <w:tc>
          <w:tcPr>
            <w:tcW w:w="3119" w:type="dxa"/>
            <w:vAlign w:val="bottom"/>
          </w:tcPr>
          <w:p w:rsidR="002A0788" w:rsidRDefault="002A0788" w:rsidP="002A07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6.75%</w:t>
            </w:r>
          </w:p>
        </w:tc>
      </w:tr>
      <w:tr w:rsidR="002A0788" w:rsidTr="003B6581">
        <w:tc>
          <w:tcPr>
            <w:tcW w:w="2202" w:type="dxa"/>
          </w:tcPr>
          <w:p w:rsidR="002A0788" w:rsidRPr="00331325" w:rsidRDefault="002A0788" w:rsidP="002A0788">
            <w:pPr>
              <w:rPr>
                <w:b/>
              </w:rPr>
            </w:pPr>
            <w:r w:rsidRPr="00331325">
              <w:rPr>
                <w:b/>
              </w:rPr>
              <w:t>18-25 years</w:t>
            </w:r>
          </w:p>
        </w:tc>
        <w:tc>
          <w:tcPr>
            <w:tcW w:w="1767" w:type="dxa"/>
            <w:vAlign w:val="bottom"/>
          </w:tcPr>
          <w:p w:rsidR="002A0788" w:rsidRDefault="002A0788" w:rsidP="002A07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21,379</w:t>
            </w:r>
          </w:p>
        </w:tc>
        <w:tc>
          <w:tcPr>
            <w:tcW w:w="1701" w:type="dxa"/>
            <w:vAlign w:val="bottom"/>
          </w:tcPr>
          <w:p w:rsidR="002A0788" w:rsidRDefault="002A0788" w:rsidP="002A07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9.85%</w:t>
            </w:r>
          </w:p>
        </w:tc>
        <w:tc>
          <w:tcPr>
            <w:tcW w:w="3119" w:type="dxa"/>
            <w:vAlign w:val="bottom"/>
          </w:tcPr>
          <w:p w:rsidR="002A0788" w:rsidRDefault="002A0788" w:rsidP="002A07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11.60%</w:t>
            </w:r>
          </w:p>
        </w:tc>
      </w:tr>
      <w:tr w:rsidR="002A0788" w:rsidTr="003B6581">
        <w:tc>
          <w:tcPr>
            <w:tcW w:w="2202" w:type="dxa"/>
          </w:tcPr>
          <w:p w:rsidR="002A0788" w:rsidRPr="00331325" w:rsidRDefault="002A0788" w:rsidP="002A0788">
            <w:pPr>
              <w:rPr>
                <w:b/>
              </w:rPr>
            </w:pPr>
            <w:r>
              <w:rPr>
                <w:b/>
              </w:rPr>
              <w:t xml:space="preserve">Total </w:t>
            </w:r>
            <w:r w:rsidR="00D64943">
              <w:rPr>
                <w:b/>
              </w:rPr>
              <w:t>young people</w:t>
            </w:r>
          </w:p>
        </w:tc>
        <w:tc>
          <w:tcPr>
            <w:tcW w:w="1767" w:type="dxa"/>
            <w:vAlign w:val="bottom"/>
          </w:tcPr>
          <w:p w:rsidR="002A0788" w:rsidRDefault="002A0788" w:rsidP="002A07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37,144</w:t>
            </w:r>
          </w:p>
        </w:tc>
        <w:tc>
          <w:tcPr>
            <w:tcW w:w="1701" w:type="dxa"/>
            <w:vAlign w:val="bottom"/>
          </w:tcPr>
          <w:p w:rsidR="002A0788" w:rsidRDefault="002A0788" w:rsidP="002A07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17.12%</w:t>
            </w:r>
          </w:p>
        </w:tc>
        <w:tc>
          <w:tcPr>
            <w:tcW w:w="3119" w:type="dxa"/>
            <w:vAlign w:val="bottom"/>
          </w:tcPr>
          <w:p w:rsidR="002A0788" w:rsidRDefault="002A0788" w:rsidP="002A07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18.35%</w:t>
            </w:r>
          </w:p>
        </w:tc>
      </w:tr>
    </w:tbl>
    <w:p w:rsidR="002A0788" w:rsidRDefault="002A0788" w:rsidP="000A7002">
      <w:pPr>
        <w:spacing w:before="120" w:after="120"/>
      </w:pPr>
      <w:r>
        <w:t>At the 2016 Census, there were just over 37,000 young people</w:t>
      </w:r>
      <w:r w:rsidR="00101365">
        <w:t xml:space="preserve"> aged 12-25</w:t>
      </w:r>
      <w:r>
        <w:t xml:space="preserve"> living in Wyndham, accounting for around 17% of the total population. </w:t>
      </w:r>
      <w:r w:rsidR="005049FB">
        <w:t xml:space="preserve">The number of 18-25 year olds is larger than the number of 12-17 year olds. Compared to Wyndham, there are proportionally more young people living across Greater Melbourne. </w:t>
      </w:r>
    </w:p>
    <w:p w:rsidR="002A0788" w:rsidRPr="002A0788" w:rsidRDefault="002A0788" w:rsidP="002A0788">
      <w:pPr>
        <w:pStyle w:val="Heading2"/>
        <w:rPr>
          <w:color w:val="365F91" w:themeColor="accent1" w:themeShade="BF"/>
        </w:rPr>
      </w:pPr>
      <w:bookmarkStart w:id="4" w:name="_Toc499040146"/>
      <w:r w:rsidRPr="002A0788">
        <w:rPr>
          <w:color w:val="365F91" w:themeColor="accent1" w:themeShade="BF"/>
        </w:rPr>
        <w:t>Population Forecast</w:t>
      </w:r>
      <w:bookmarkEnd w:id="4"/>
      <w:r w:rsidRPr="002A0788">
        <w:rPr>
          <w:color w:val="365F91" w:themeColor="accent1" w:themeShade="BF"/>
        </w:rPr>
        <w:t xml:space="preserve"> </w:t>
      </w:r>
    </w:p>
    <w:p w:rsidR="002A0788" w:rsidRPr="00DA44E1" w:rsidRDefault="002A0788" w:rsidP="002A0788">
      <w:pPr>
        <w:rPr>
          <w:b/>
        </w:rPr>
      </w:pPr>
      <w:r w:rsidRPr="00DA44E1">
        <w:rPr>
          <w:b/>
        </w:rPr>
        <w:t>Figure 1</w:t>
      </w:r>
      <w:r w:rsidR="00BD5F84">
        <w:rPr>
          <w:b/>
        </w:rPr>
        <w:t>:</w:t>
      </w:r>
      <w:r w:rsidRPr="00DA44E1">
        <w:rPr>
          <w:b/>
        </w:rPr>
        <w:t xml:space="preserve"> Population forecast 12-17 and 18-25 year</w:t>
      </w:r>
      <w:r w:rsidR="005C3A4A">
        <w:rPr>
          <w:b/>
        </w:rPr>
        <w:t xml:space="preserve"> olds, Wyndham,</w:t>
      </w:r>
      <w:r w:rsidRPr="00DA44E1">
        <w:rPr>
          <w:b/>
        </w:rPr>
        <w:t xml:space="preserve"> 2016 </w:t>
      </w:r>
      <w:r w:rsidR="002B2B48">
        <w:rPr>
          <w:b/>
        </w:rPr>
        <w:t>to 2036</w:t>
      </w:r>
    </w:p>
    <w:p w:rsidR="002A0788" w:rsidRDefault="002A0788" w:rsidP="002A0788">
      <w:r>
        <w:rPr>
          <w:noProof/>
          <w:lang w:eastAsia="en-AU"/>
        </w:rPr>
        <w:drawing>
          <wp:inline distT="0" distB="0" distL="0" distR="0" wp14:anchorId="722EC49C" wp14:editId="07398B70">
            <wp:extent cx="4572000" cy="27432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74ABF" w:rsidRDefault="002A0788" w:rsidP="002A0788">
      <w:pPr>
        <w:sectPr w:rsidR="00774ABF" w:rsidSect="009E4461">
          <w:headerReference w:type="even" r:id="rId10"/>
          <w:footerReference w:type="even" r:id="rId11"/>
          <w:footerReference w:type="default" r:id="rId12"/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  <w:r>
        <w:t>There is steady growth forecast</w:t>
      </w:r>
      <w:r w:rsidR="006472B0">
        <w:t xml:space="preserve"> for</w:t>
      </w:r>
      <w:r>
        <w:t xml:space="preserve"> </w:t>
      </w:r>
      <w:r w:rsidR="005C3A4A">
        <w:t>young people</w:t>
      </w:r>
      <w:r>
        <w:t xml:space="preserve"> over the next 20 years. The population of both 12-17 year olds and 18-25 years olds is expected to increase by over 90%. The number of young people aged 12-17 is forecast to more than double from almost 16,000 people in 2016 to over 34,000 by 2036. The population of 18-25 year olds is forecast to increase by 92%, to reach over 45,000 residents by 2036.</w:t>
      </w:r>
    </w:p>
    <w:p w:rsidR="003B3B9C" w:rsidRDefault="00774ABF" w:rsidP="001F09B2">
      <w:r>
        <w:rPr>
          <w:noProof/>
          <w:lang w:eastAsia="en-AU"/>
        </w:rPr>
        <w:lastRenderedPageBreak/>
        <w:drawing>
          <wp:inline distT="0" distB="0" distL="0" distR="0" wp14:anchorId="119B6BF6" wp14:editId="1289844D">
            <wp:extent cx="8861607" cy="5638800"/>
            <wp:effectExtent l="0" t="0" r="0" b="0"/>
            <wp:docPr id="17" name="Picture 17" descr="C:\Users\sgreen\AppData\Local\Microsoft\Windows\Temporary Internet Files\Content.Outlook\82CYIJL7\A3 Wyndham Population 2016_12-17y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reen\AppData\Local\Microsoft\Windows\Temporary Internet Files\Content.Outlook\82CYIJL7\A3 Wyndham Population 2016_12-17yea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3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BF" w:rsidRDefault="00774ABF" w:rsidP="001F09B2">
      <w:pPr>
        <w:sectPr w:rsidR="00774ABF" w:rsidSect="00774ABF">
          <w:pgSz w:w="16838" w:h="11906" w:orient="landscape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  <w:r>
        <w:rPr>
          <w:noProof/>
          <w:lang w:eastAsia="en-AU"/>
        </w:rPr>
        <w:lastRenderedPageBreak/>
        <w:drawing>
          <wp:inline distT="0" distB="0" distL="0" distR="0" wp14:anchorId="1DE2DC2E" wp14:editId="2325A3CF">
            <wp:extent cx="8867029" cy="5709684"/>
            <wp:effectExtent l="0" t="0" r="0" b="5715"/>
            <wp:docPr id="18" name="Picture 18" descr="C:\Users\sgreen\AppData\Local\Microsoft\Windows\Temporary Internet Files\Content.Outlook\82CYIJL7\A3 Wyndham Population 2036_12-17y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green\AppData\Local\Microsoft\Windows\Temporary Internet Files\Content.Outlook\82CYIJL7\A3 Wyndham Population 2036_12-17yea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0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9C" w:rsidRDefault="003B3B9C" w:rsidP="001F09B2">
      <w:pPr>
        <w:pStyle w:val="Heading1"/>
        <w:spacing w:before="0"/>
      </w:pPr>
      <w:bookmarkStart w:id="5" w:name="_Toc499040147"/>
      <w:r>
        <w:lastRenderedPageBreak/>
        <w:t>Cultural Diversity</w:t>
      </w:r>
      <w:bookmarkEnd w:id="5"/>
    </w:p>
    <w:p w:rsidR="002A0788" w:rsidRPr="002A0788" w:rsidRDefault="002A0788" w:rsidP="002A0788">
      <w:pPr>
        <w:pStyle w:val="Heading2"/>
        <w:rPr>
          <w:color w:val="365F91" w:themeColor="accent1" w:themeShade="BF"/>
        </w:rPr>
      </w:pPr>
      <w:bookmarkStart w:id="6" w:name="_Toc499040148"/>
      <w:r w:rsidRPr="002A0788">
        <w:rPr>
          <w:color w:val="365F91" w:themeColor="accent1" w:themeShade="BF"/>
        </w:rPr>
        <w:t>Indigenous residents</w:t>
      </w:r>
      <w:bookmarkEnd w:id="6"/>
    </w:p>
    <w:p w:rsidR="003B3B9C" w:rsidRDefault="002A0788" w:rsidP="003B3B9C">
      <w:r>
        <w:t xml:space="preserve">There are 479 young people </w:t>
      </w:r>
      <w:r w:rsidR="004A32F9">
        <w:t xml:space="preserve">living in Wyndham </w:t>
      </w:r>
      <w:r>
        <w:t>aged 12 to 25 years who identify as Aboriginal, Torres Strait Islander or both Aboriginal and Torres Strait Islander</w:t>
      </w:r>
      <w:r w:rsidR="00AF41A5">
        <w:t>.</w:t>
      </w:r>
      <w:r w:rsidR="004A32F9" w:rsidRPr="004A32F9">
        <w:t xml:space="preserve"> </w:t>
      </w:r>
      <w:r w:rsidR="004A32F9">
        <w:t>The age group of 18-25 year olds is the largest (268 people).  Young Indigenous residents account for approximately 2.6% of the total youth population in Wyndham in 2016, whereas in 2011 this was as low as 1.1%.</w:t>
      </w:r>
    </w:p>
    <w:p w:rsidR="002A0788" w:rsidRPr="00017B5E" w:rsidRDefault="002A0788" w:rsidP="004A32F9">
      <w:pPr>
        <w:pStyle w:val="Heading2"/>
        <w:rPr>
          <w:color w:val="365F91" w:themeColor="accent1" w:themeShade="BF"/>
        </w:rPr>
      </w:pPr>
      <w:bookmarkStart w:id="7" w:name="_Toc499040149"/>
      <w:r w:rsidRPr="00017B5E">
        <w:rPr>
          <w:color w:val="365F91" w:themeColor="accent1" w:themeShade="BF"/>
        </w:rPr>
        <w:t>Country of birth</w:t>
      </w:r>
      <w:bookmarkEnd w:id="7"/>
    </w:p>
    <w:p w:rsidR="002A0788" w:rsidRPr="00FB5FCA" w:rsidRDefault="00160C04" w:rsidP="002A0788">
      <w:pPr>
        <w:spacing w:after="120"/>
        <w:rPr>
          <w:b/>
        </w:rPr>
      </w:pPr>
      <w:r>
        <w:rPr>
          <w:b/>
        </w:rPr>
        <w:t>Figure 2 &amp; 3</w:t>
      </w:r>
      <w:r w:rsidR="00BD5F84">
        <w:rPr>
          <w:b/>
        </w:rPr>
        <w:t>:</w:t>
      </w:r>
      <w:r w:rsidR="002A0788" w:rsidRPr="00FB5FCA">
        <w:rPr>
          <w:b/>
        </w:rPr>
        <w:t xml:space="preserve"> </w:t>
      </w:r>
      <w:r w:rsidR="004B1AAB">
        <w:rPr>
          <w:b/>
        </w:rPr>
        <w:t xml:space="preserve">Percentage of </w:t>
      </w:r>
      <w:r w:rsidR="002A0788" w:rsidRPr="00FB5FCA">
        <w:rPr>
          <w:b/>
        </w:rPr>
        <w:t xml:space="preserve">Overseas </w:t>
      </w:r>
      <w:r w:rsidR="004B1AAB">
        <w:rPr>
          <w:b/>
        </w:rPr>
        <w:t>B</w:t>
      </w:r>
      <w:r w:rsidR="002A0788" w:rsidRPr="00FB5FCA">
        <w:rPr>
          <w:b/>
        </w:rPr>
        <w:t>orn</w:t>
      </w:r>
      <w:r w:rsidR="004B1AAB">
        <w:rPr>
          <w:b/>
        </w:rPr>
        <w:t xml:space="preserve"> Young People, Wyndham and Greater Melbourne</w:t>
      </w:r>
      <w:r w:rsidR="002A0788" w:rsidRPr="00FB5FCA">
        <w:rPr>
          <w:b/>
        </w:rPr>
        <w:t xml:space="preserve">, 2016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3"/>
        <w:gridCol w:w="4489"/>
      </w:tblGrid>
      <w:tr w:rsidR="002A0788" w:rsidTr="00A13A1A"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</w:tcPr>
          <w:p w:rsidR="002A0788" w:rsidRDefault="002A0788" w:rsidP="002A0788">
            <w:r>
              <w:rPr>
                <w:noProof/>
                <w:lang w:eastAsia="en-AU"/>
              </w:rPr>
              <w:drawing>
                <wp:inline distT="0" distB="0" distL="0" distR="0" wp14:anchorId="69A61DA1" wp14:editId="24CBA246">
                  <wp:extent cx="2849526" cy="2211572"/>
                  <wp:effectExtent l="0" t="0" r="8255" b="0"/>
                  <wp:docPr id="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4881" w:type="dxa"/>
            <w:tcBorders>
              <w:top w:val="nil"/>
              <w:left w:val="nil"/>
              <w:bottom w:val="nil"/>
              <w:right w:val="nil"/>
            </w:tcBorders>
          </w:tcPr>
          <w:p w:rsidR="002A0788" w:rsidRDefault="002A0788" w:rsidP="002A0788">
            <w:r>
              <w:rPr>
                <w:noProof/>
                <w:lang w:eastAsia="en-AU"/>
              </w:rPr>
              <w:drawing>
                <wp:inline distT="0" distB="0" distL="0" distR="0" wp14:anchorId="331D29C7" wp14:editId="00D882AD">
                  <wp:extent cx="2679404" cy="2211572"/>
                  <wp:effectExtent l="0" t="0" r="6985" b="0"/>
                  <wp:docPr id="6" name="Chart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2A0788" w:rsidTr="00A13A1A">
        <w:trPr>
          <w:trHeight w:val="1387"/>
        </w:trPr>
        <w:tc>
          <w:tcPr>
            <w:tcW w:w="99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0788" w:rsidRDefault="00CA11B8" w:rsidP="002A0788">
            <w:r>
              <w:t xml:space="preserve">Based on the proportion of people born overseas, </w:t>
            </w:r>
            <w:r w:rsidR="002A0788">
              <w:t xml:space="preserve">Wyndham’s youth population is more culturally diverse than young people across Greater Melbourne. In Wyndham, 31% of </w:t>
            </w:r>
            <w:r>
              <w:t>12-17 year olds</w:t>
            </w:r>
            <w:r w:rsidR="002A0788">
              <w:t xml:space="preserve"> were born overseas, compared to only 18% in Greater Melbourne. In the 18-25 year age group, cultural diversity is similar </w:t>
            </w:r>
            <w:r w:rsidR="002A790D">
              <w:t>across</w:t>
            </w:r>
            <w:r w:rsidR="002A0788">
              <w:t xml:space="preserve"> both locations with around a third of residents born overseas. </w:t>
            </w:r>
          </w:p>
          <w:p w:rsidR="002A0788" w:rsidRDefault="002A0788" w:rsidP="002A0788"/>
        </w:tc>
      </w:tr>
    </w:tbl>
    <w:p w:rsidR="002A0788" w:rsidRPr="009A477D" w:rsidRDefault="008D0CB4" w:rsidP="002A0788">
      <w:pPr>
        <w:rPr>
          <w:b/>
        </w:rPr>
      </w:pPr>
      <w:r>
        <w:rPr>
          <w:b/>
        </w:rPr>
        <w:t>Table 2</w:t>
      </w:r>
      <w:r w:rsidR="00BD5F84">
        <w:rPr>
          <w:b/>
        </w:rPr>
        <w:t>:</w:t>
      </w:r>
      <w:r>
        <w:rPr>
          <w:b/>
        </w:rPr>
        <w:t xml:space="preserve"> </w:t>
      </w:r>
      <w:r w:rsidR="002A0788">
        <w:rPr>
          <w:b/>
        </w:rPr>
        <w:t xml:space="preserve">Country of </w:t>
      </w:r>
      <w:r>
        <w:rPr>
          <w:b/>
        </w:rPr>
        <w:t>B</w:t>
      </w:r>
      <w:r w:rsidR="002A0788">
        <w:rPr>
          <w:b/>
        </w:rPr>
        <w:t>irth</w:t>
      </w:r>
      <w:r w:rsidR="0031205C">
        <w:rPr>
          <w:b/>
        </w:rPr>
        <w:t>, 12-17 year old</w:t>
      </w:r>
      <w:r>
        <w:rPr>
          <w:b/>
        </w:rPr>
        <w:t>s</w:t>
      </w:r>
      <w:r w:rsidR="002A0788" w:rsidRPr="009A477D">
        <w:rPr>
          <w:b/>
        </w:rPr>
        <w:t>,</w:t>
      </w:r>
      <w:r>
        <w:rPr>
          <w:b/>
        </w:rPr>
        <w:t xml:space="preserve"> Wyndham and Greater Melbourne,</w:t>
      </w:r>
      <w:r w:rsidR="002A0788" w:rsidRPr="009A477D">
        <w:rPr>
          <w:b/>
        </w:rPr>
        <w:t xml:space="preserve"> 2016</w:t>
      </w:r>
    </w:p>
    <w:tbl>
      <w:tblPr>
        <w:tblW w:w="9792" w:type="dxa"/>
        <w:tblInd w:w="93" w:type="dxa"/>
        <w:tblLook w:val="04A0" w:firstRow="1" w:lastRow="0" w:firstColumn="1" w:lastColumn="0" w:noHBand="0" w:noVBand="1"/>
      </w:tblPr>
      <w:tblGrid>
        <w:gridCol w:w="1178"/>
        <w:gridCol w:w="2650"/>
        <w:gridCol w:w="1656"/>
        <w:gridCol w:w="2801"/>
        <w:gridCol w:w="1507"/>
      </w:tblGrid>
      <w:tr w:rsidR="002A0788" w:rsidRPr="00640FC9" w:rsidTr="008745A0">
        <w:trPr>
          <w:trHeight w:val="588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2A0788" w:rsidRPr="008745A0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2A0788" w:rsidRPr="008745A0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8745A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2A0788" w:rsidRPr="008745A0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8745A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Greater Melbourne</w:t>
            </w:r>
          </w:p>
        </w:tc>
      </w:tr>
      <w:tr w:rsidR="002A0788" w:rsidRPr="00640FC9" w:rsidTr="002A0788">
        <w:trPr>
          <w:trHeight w:val="588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New Zealand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5.63%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China (excludes SARs and Taiwan)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2.33%</w:t>
            </w:r>
          </w:p>
        </w:tc>
      </w:tr>
      <w:tr w:rsidR="002A0788" w:rsidRPr="00640FC9" w:rsidTr="002A0788">
        <w:trPr>
          <w:trHeight w:val="588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India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4.11%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New Zealand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1.76%</w:t>
            </w:r>
          </w:p>
        </w:tc>
      </w:tr>
      <w:tr w:rsidR="002A0788" w:rsidRPr="00640FC9" w:rsidTr="008D0CB4">
        <w:trPr>
          <w:trHeight w:val="588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Philippines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2.84%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India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1.56%</w:t>
            </w:r>
          </w:p>
        </w:tc>
      </w:tr>
      <w:tr w:rsidR="002A0788" w:rsidRPr="00640FC9" w:rsidTr="008D0CB4">
        <w:trPr>
          <w:trHeight w:val="588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Thailand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2.04%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England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1.33%</w:t>
            </w:r>
          </w:p>
        </w:tc>
      </w:tr>
      <w:tr w:rsidR="002A0788" w:rsidRPr="00640FC9" w:rsidTr="008D0CB4">
        <w:trPr>
          <w:trHeight w:val="588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China (excludes SARs and Taiwan)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1.5%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Philippines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0.84%</w:t>
            </w:r>
          </w:p>
        </w:tc>
      </w:tr>
      <w:tr w:rsidR="002A0788" w:rsidRPr="00640FC9" w:rsidTr="008D0CB4">
        <w:trPr>
          <w:trHeight w:val="588"/>
        </w:trPr>
        <w:tc>
          <w:tcPr>
            <w:tcW w:w="9792" w:type="dxa"/>
            <w:gridSpan w:val="5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2A0788" w:rsidRDefault="002A0788" w:rsidP="008D0CB4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5F1644">
              <w:rPr>
                <w:rFonts w:eastAsia="Times New Roman" w:cs="Arial"/>
                <w:lang w:eastAsia="en-AU"/>
              </w:rPr>
              <w:t xml:space="preserve">The top 5 countries of birth for 12-17 year olds in Wyndham and Greater Melbourne are similar. India, New Zealand, China and the Philippines feature in the top 5 for both areas. However, the proportion of residents born in these countries varies. For example, nearly 6% of Wyndham </w:t>
            </w:r>
            <w:r>
              <w:rPr>
                <w:rFonts w:eastAsia="Times New Roman" w:cs="Arial"/>
                <w:lang w:eastAsia="en-AU"/>
              </w:rPr>
              <w:t>12-17 year olds</w:t>
            </w:r>
            <w:r w:rsidRPr="005F1644">
              <w:rPr>
                <w:rFonts w:eastAsia="Times New Roman" w:cs="Arial"/>
                <w:lang w:eastAsia="en-AU"/>
              </w:rPr>
              <w:t xml:space="preserve"> were born in New Zealand compared to less than 2% across Greater Melbourne.</w:t>
            </w:r>
            <w:r w:rsidR="008D0CB4">
              <w:rPr>
                <w:rFonts w:eastAsia="Times New Roman" w:cs="Arial"/>
                <w:lang w:eastAsia="en-AU"/>
              </w:rPr>
              <w:t xml:space="preserve"> </w:t>
            </w:r>
            <w:r w:rsidRPr="005F1644">
              <w:rPr>
                <w:rFonts w:eastAsia="Times New Roman" w:cs="Arial"/>
                <w:lang w:eastAsia="en-AU"/>
              </w:rPr>
              <w:t>In Wyndham, Thailand is the fourth most common country of birth, while in Greater Melbourne, England takes fourth place.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</w:p>
          <w:p w:rsidR="002A0788" w:rsidRPr="00640FC9" w:rsidRDefault="002A0788" w:rsidP="002A07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:rsidR="00BD5F84" w:rsidRPr="009A477D" w:rsidRDefault="00BD5F84" w:rsidP="00BD5F84">
      <w:pPr>
        <w:rPr>
          <w:b/>
        </w:rPr>
      </w:pPr>
      <w:r>
        <w:rPr>
          <w:b/>
        </w:rPr>
        <w:lastRenderedPageBreak/>
        <w:t>Table 3: Country of Birth of 18-24</w:t>
      </w:r>
      <w:r w:rsidRPr="009A477D">
        <w:rPr>
          <w:b/>
        </w:rPr>
        <w:t xml:space="preserve"> year</w:t>
      </w:r>
      <w:r>
        <w:rPr>
          <w:b/>
        </w:rPr>
        <w:t xml:space="preserve"> olds</w:t>
      </w:r>
      <w:r w:rsidRPr="009A477D">
        <w:rPr>
          <w:b/>
        </w:rPr>
        <w:t xml:space="preserve">, </w:t>
      </w:r>
      <w:r>
        <w:rPr>
          <w:b/>
        </w:rPr>
        <w:t xml:space="preserve">Wyndham and Greater Melbourne, </w:t>
      </w:r>
      <w:r w:rsidRPr="009A477D">
        <w:rPr>
          <w:b/>
        </w:rPr>
        <w:t>2016</w:t>
      </w:r>
    </w:p>
    <w:tbl>
      <w:tblPr>
        <w:tblW w:w="9884" w:type="dxa"/>
        <w:tblInd w:w="93" w:type="dxa"/>
        <w:tblLook w:val="04A0" w:firstRow="1" w:lastRow="0" w:firstColumn="1" w:lastColumn="0" w:noHBand="0" w:noVBand="1"/>
      </w:tblPr>
      <w:tblGrid>
        <w:gridCol w:w="1189"/>
        <w:gridCol w:w="2675"/>
        <w:gridCol w:w="1672"/>
        <w:gridCol w:w="2828"/>
        <w:gridCol w:w="1520"/>
      </w:tblGrid>
      <w:tr w:rsidR="002A0788" w:rsidRPr="00640FC9" w:rsidTr="00871213">
        <w:trPr>
          <w:trHeight w:val="606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2A0788" w:rsidRPr="00871213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</w:p>
        </w:tc>
        <w:tc>
          <w:tcPr>
            <w:tcW w:w="4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2A0788" w:rsidRPr="00871213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871213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434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2A0788" w:rsidRPr="00871213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871213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Greater Melbourne</w:t>
            </w:r>
          </w:p>
        </w:tc>
      </w:tr>
      <w:tr w:rsidR="002A0788" w:rsidRPr="00640FC9" w:rsidTr="002A0788">
        <w:trPr>
          <w:trHeight w:val="606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India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8.62%</w:t>
            </w:r>
          </w:p>
        </w:tc>
        <w:tc>
          <w:tcPr>
            <w:tcW w:w="2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China (excludes SARs and Taiwan)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7.68%</w:t>
            </w:r>
          </w:p>
        </w:tc>
      </w:tr>
      <w:tr w:rsidR="002A0788" w:rsidRPr="00640FC9" w:rsidTr="002A0788">
        <w:trPr>
          <w:trHeight w:val="606"/>
        </w:trPr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New Zealand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4.89%</w:t>
            </w:r>
          </w:p>
        </w:tc>
        <w:tc>
          <w:tcPr>
            <w:tcW w:w="2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India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3.59%</w:t>
            </w:r>
          </w:p>
        </w:tc>
      </w:tr>
      <w:tr w:rsidR="002A0788" w:rsidRPr="00640FC9" w:rsidTr="002A0788">
        <w:trPr>
          <w:trHeight w:val="606"/>
        </w:trPr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Philippines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2.77%</w:t>
            </w:r>
          </w:p>
        </w:tc>
        <w:tc>
          <w:tcPr>
            <w:tcW w:w="2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New Zealand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1.86%</w:t>
            </w:r>
          </w:p>
        </w:tc>
      </w:tr>
      <w:tr w:rsidR="002A0788" w:rsidRPr="00640FC9" w:rsidTr="002A0788">
        <w:trPr>
          <w:trHeight w:val="606"/>
        </w:trPr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China (excludes SARs and Taiwan)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1.96%</w:t>
            </w:r>
          </w:p>
        </w:tc>
        <w:tc>
          <w:tcPr>
            <w:tcW w:w="2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Malaysia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1.6%</w:t>
            </w:r>
          </w:p>
        </w:tc>
      </w:tr>
      <w:tr w:rsidR="002A0788" w:rsidRPr="00640FC9" w:rsidTr="002A0788">
        <w:trPr>
          <w:trHeight w:val="606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Thailand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1.39%</w:t>
            </w:r>
          </w:p>
        </w:tc>
        <w:tc>
          <w:tcPr>
            <w:tcW w:w="2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Vietnam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1.43%</w:t>
            </w:r>
          </w:p>
        </w:tc>
      </w:tr>
      <w:tr w:rsidR="002A0788" w:rsidRPr="00640FC9" w:rsidTr="002A0788">
        <w:trPr>
          <w:trHeight w:val="606"/>
        </w:trPr>
        <w:tc>
          <w:tcPr>
            <w:tcW w:w="9883" w:type="dxa"/>
            <w:gridSpan w:val="5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2A0788" w:rsidRPr="00D154CE" w:rsidRDefault="002A0788" w:rsidP="003B3F49">
            <w:pPr>
              <w:rPr>
                <w:rFonts w:cs="Arial"/>
              </w:rPr>
            </w:pPr>
            <w:r w:rsidRPr="00D154CE">
              <w:rPr>
                <w:rFonts w:cs="Arial"/>
              </w:rPr>
              <w:t xml:space="preserve">India is the most common country of birth amongst </w:t>
            </w:r>
            <w:r w:rsidR="00871213">
              <w:rPr>
                <w:rFonts w:cs="Arial"/>
              </w:rPr>
              <w:t xml:space="preserve">Wyndham’s </w:t>
            </w:r>
            <w:r w:rsidRPr="00D154CE">
              <w:rPr>
                <w:rFonts w:cs="Arial"/>
              </w:rPr>
              <w:t>18-25 year olds, wh</w:t>
            </w:r>
            <w:r w:rsidR="00871213">
              <w:rPr>
                <w:rFonts w:cs="Arial"/>
              </w:rPr>
              <w:t xml:space="preserve">ile China is most common in </w:t>
            </w:r>
            <w:r w:rsidRPr="00D154CE">
              <w:rPr>
                <w:rFonts w:cs="Arial"/>
              </w:rPr>
              <w:t xml:space="preserve">Greater Melbourne. Vietnam and Malaysia </w:t>
            </w:r>
            <w:r>
              <w:rPr>
                <w:rFonts w:cs="Arial"/>
              </w:rPr>
              <w:t>are</w:t>
            </w:r>
            <w:r w:rsidRPr="00D154CE">
              <w:rPr>
                <w:rFonts w:cs="Arial"/>
              </w:rPr>
              <w:t xml:space="preserve"> the fourth and fifth most common </w:t>
            </w:r>
            <w:r>
              <w:rPr>
                <w:rFonts w:cs="Arial"/>
              </w:rPr>
              <w:t>countries of birth</w:t>
            </w:r>
            <w:r w:rsidRPr="00D154CE">
              <w:rPr>
                <w:rFonts w:cs="Arial"/>
              </w:rPr>
              <w:t xml:space="preserve"> </w:t>
            </w:r>
            <w:r w:rsidR="00871213">
              <w:rPr>
                <w:rFonts w:cs="Arial"/>
              </w:rPr>
              <w:t xml:space="preserve">in this age group </w:t>
            </w:r>
            <w:r w:rsidRPr="00D154CE">
              <w:rPr>
                <w:rFonts w:cs="Arial"/>
              </w:rPr>
              <w:t xml:space="preserve">across Greater Melbourne, compared to China and Thailand </w:t>
            </w:r>
            <w:r>
              <w:rPr>
                <w:rFonts w:cs="Arial"/>
              </w:rPr>
              <w:t>in</w:t>
            </w:r>
            <w:r w:rsidRPr="00D154CE">
              <w:rPr>
                <w:rFonts w:cs="Arial"/>
              </w:rPr>
              <w:t xml:space="preserve"> Wyndham. </w:t>
            </w:r>
          </w:p>
        </w:tc>
      </w:tr>
    </w:tbl>
    <w:p w:rsidR="002A0788" w:rsidRDefault="002A0788" w:rsidP="00871213">
      <w:pPr>
        <w:pStyle w:val="Heading2"/>
      </w:pPr>
      <w:bookmarkStart w:id="8" w:name="_Toc499040150"/>
      <w:r w:rsidRPr="00D154CE">
        <w:t>Language</w:t>
      </w:r>
      <w:bookmarkEnd w:id="8"/>
    </w:p>
    <w:p w:rsidR="00831340" w:rsidRPr="00DA44E1" w:rsidRDefault="00831340" w:rsidP="00831340">
      <w:pPr>
        <w:rPr>
          <w:b/>
        </w:rPr>
      </w:pPr>
      <w:r w:rsidRPr="00DA44E1">
        <w:rPr>
          <w:b/>
        </w:rPr>
        <w:t xml:space="preserve">Figure </w:t>
      </w:r>
      <w:r>
        <w:rPr>
          <w:b/>
        </w:rPr>
        <w:t>4 &amp; 5:</w:t>
      </w:r>
      <w:r w:rsidRPr="00DA44E1">
        <w:rPr>
          <w:b/>
        </w:rPr>
        <w:t xml:space="preserve"> </w:t>
      </w:r>
      <w:r>
        <w:rPr>
          <w:b/>
        </w:rPr>
        <w:t xml:space="preserve">Multilingual Capabilities of </w:t>
      </w:r>
      <w:r w:rsidRPr="00DA44E1">
        <w:rPr>
          <w:b/>
        </w:rPr>
        <w:t>12-17 and 18-25 year</w:t>
      </w:r>
      <w:r>
        <w:rPr>
          <w:b/>
        </w:rPr>
        <w:t xml:space="preserve"> olds</w:t>
      </w:r>
      <w:r w:rsidRPr="00DA44E1">
        <w:rPr>
          <w:b/>
        </w:rPr>
        <w:t>,</w:t>
      </w:r>
      <w:r>
        <w:rPr>
          <w:b/>
        </w:rPr>
        <w:t xml:space="preserve"> Wyndham,</w:t>
      </w:r>
      <w:r w:rsidRPr="00DA44E1">
        <w:rPr>
          <w:b/>
        </w:rPr>
        <w:t xml:space="preserve"> 2016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5"/>
        <w:gridCol w:w="4547"/>
      </w:tblGrid>
      <w:tr w:rsidR="002A0788" w:rsidTr="00831340"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</w:tcPr>
          <w:p w:rsidR="002A0788" w:rsidRDefault="002A0788" w:rsidP="002A0788">
            <w:r>
              <w:rPr>
                <w:noProof/>
                <w:lang w:eastAsia="en-AU"/>
              </w:rPr>
              <w:drawing>
                <wp:inline distT="0" distB="0" distL="0" distR="0" wp14:anchorId="213BB6AC" wp14:editId="0ADBB530">
                  <wp:extent cx="2902688" cy="2466754"/>
                  <wp:effectExtent l="0" t="0" r="0" b="0"/>
                  <wp:docPr id="7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2A0788" w:rsidRDefault="002A0788" w:rsidP="002A0788">
            <w:r>
              <w:rPr>
                <w:noProof/>
                <w:lang w:eastAsia="en-AU"/>
              </w:rPr>
              <w:drawing>
                <wp:inline distT="0" distB="0" distL="0" distR="0" wp14:anchorId="29C2979B" wp14:editId="293ECC62">
                  <wp:extent cx="2806995" cy="2466754"/>
                  <wp:effectExtent l="0" t="0" r="0" b="0"/>
                  <wp:docPr id="8" name="Chart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2A0788" w:rsidTr="00831340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0788" w:rsidRDefault="002A0788" w:rsidP="00655749">
            <w:r>
              <w:t>In the 12-17 year age group, 32% of people speak a language other than English.</w:t>
            </w:r>
            <w:r w:rsidR="00655749">
              <w:t xml:space="preserve"> There is slightly more l</w:t>
            </w:r>
            <w:r>
              <w:t xml:space="preserve">anguage diversity in the 18-25 year age group </w:t>
            </w:r>
            <w:r w:rsidR="00655749">
              <w:t>with</w:t>
            </w:r>
            <w:r>
              <w:t xml:space="preserve"> 35% of people speaking one of over 100 languages other than English. </w:t>
            </w:r>
          </w:p>
        </w:tc>
      </w:tr>
    </w:tbl>
    <w:p w:rsidR="002A0788" w:rsidRDefault="002A0788" w:rsidP="002A0788"/>
    <w:p w:rsidR="004B4505" w:rsidRDefault="004B4505" w:rsidP="002A0788"/>
    <w:p w:rsidR="004B4505" w:rsidRDefault="004B4505" w:rsidP="002A0788"/>
    <w:p w:rsidR="004B4505" w:rsidRDefault="004B4505" w:rsidP="002A0788"/>
    <w:p w:rsidR="004B4505" w:rsidRDefault="004B4505" w:rsidP="002A0788"/>
    <w:p w:rsidR="00DF492E" w:rsidRPr="009A477D" w:rsidRDefault="00DF492E" w:rsidP="00DF492E">
      <w:pPr>
        <w:rPr>
          <w:b/>
        </w:rPr>
      </w:pPr>
      <w:r>
        <w:rPr>
          <w:b/>
        </w:rPr>
        <w:lastRenderedPageBreak/>
        <w:t>Table 4: Language Spoken at Home by 12-17</w:t>
      </w:r>
      <w:r w:rsidRPr="009A477D">
        <w:rPr>
          <w:b/>
        </w:rPr>
        <w:t xml:space="preserve"> year</w:t>
      </w:r>
      <w:r>
        <w:rPr>
          <w:b/>
        </w:rPr>
        <w:t xml:space="preserve"> olds</w:t>
      </w:r>
      <w:r w:rsidRPr="009A477D">
        <w:rPr>
          <w:b/>
        </w:rPr>
        <w:t xml:space="preserve">, </w:t>
      </w:r>
      <w:r>
        <w:rPr>
          <w:b/>
        </w:rPr>
        <w:t xml:space="preserve">Wyndham and Greater Melbourne, </w:t>
      </w:r>
      <w:r w:rsidRPr="009A477D">
        <w:rPr>
          <w:b/>
        </w:rPr>
        <w:t>2016</w:t>
      </w:r>
    </w:p>
    <w:tbl>
      <w:tblPr>
        <w:tblW w:w="9656" w:type="dxa"/>
        <w:tblInd w:w="93" w:type="dxa"/>
        <w:tblLook w:val="04A0" w:firstRow="1" w:lastRow="0" w:firstColumn="1" w:lastColumn="0" w:noHBand="0" w:noVBand="1"/>
      </w:tblPr>
      <w:tblGrid>
        <w:gridCol w:w="1008"/>
        <w:gridCol w:w="1984"/>
        <w:gridCol w:w="2126"/>
        <w:gridCol w:w="2268"/>
        <w:gridCol w:w="2270"/>
      </w:tblGrid>
      <w:tr w:rsidR="002A0788" w:rsidRPr="00640FC9" w:rsidTr="004B4505">
        <w:trPr>
          <w:trHeight w:val="371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2A0788" w:rsidRPr="004B4505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2A0788" w:rsidRPr="004B4505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4B450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45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2A0788" w:rsidRPr="004B4505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4B450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Greater Melbourne</w:t>
            </w:r>
          </w:p>
        </w:tc>
      </w:tr>
      <w:tr w:rsidR="002A0788" w:rsidRPr="00640FC9" w:rsidTr="004B4505">
        <w:trPr>
          <w:trHeight w:val="371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Arabic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2.71%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Mandarin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3.41%</w:t>
            </w:r>
          </w:p>
        </w:tc>
      </w:tr>
      <w:tr w:rsidR="002A0788" w:rsidRPr="00640FC9" w:rsidTr="004B4505">
        <w:trPr>
          <w:trHeight w:val="371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Karen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2.16%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Vietnamese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2.81%</w:t>
            </w:r>
          </w:p>
        </w:tc>
      </w:tr>
      <w:tr w:rsidR="002A0788" w:rsidRPr="00640FC9" w:rsidTr="004B4505">
        <w:trPr>
          <w:trHeight w:val="371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Mandarin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2.09%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Arabic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2.23%</w:t>
            </w:r>
          </w:p>
        </w:tc>
      </w:tr>
      <w:tr w:rsidR="002A0788" w:rsidRPr="00640FC9" w:rsidTr="004B4505">
        <w:trPr>
          <w:trHeight w:val="371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Hindi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1.55%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Greek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1.68%</w:t>
            </w:r>
          </w:p>
        </w:tc>
      </w:tr>
      <w:tr w:rsidR="002A0788" w:rsidRPr="00640FC9" w:rsidTr="004B4505">
        <w:trPr>
          <w:trHeight w:val="371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Urdu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1.27%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Cantonese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1.34%</w:t>
            </w:r>
          </w:p>
        </w:tc>
      </w:tr>
      <w:tr w:rsidR="002A0788" w:rsidRPr="00640FC9" w:rsidTr="002A0788">
        <w:trPr>
          <w:trHeight w:val="1182"/>
        </w:trPr>
        <w:tc>
          <w:tcPr>
            <w:tcW w:w="9656" w:type="dxa"/>
            <w:gridSpan w:val="5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2A0788" w:rsidRPr="00271EE2" w:rsidRDefault="00383C13" w:rsidP="002A0788">
            <w:r>
              <w:t>For</w:t>
            </w:r>
            <w:r w:rsidRPr="00532AB2">
              <w:t xml:space="preserve"> 12-17 year olds in Wyndham</w:t>
            </w:r>
            <w:r w:rsidR="003B3F49">
              <w:t>,</w:t>
            </w:r>
            <w:r w:rsidRPr="00532AB2">
              <w:t xml:space="preserve"> Arabic is the most commonly spoken language</w:t>
            </w:r>
            <w:r>
              <w:t xml:space="preserve"> at home (other than English)</w:t>
            </w:r>
            <w:r w:rsidRPr="00532AB2">
              <w:t>, followed by Ka</w:t>
            </w:r>
            <w:r>
              <w:t xml:space="preserve">ren, Mandarin, Hindi and Urdu. </w:t>
            </w:r>
            <w:r w:rsidRPr="00532AB2">
              <w:t xml:space="preserve">Across Greater Melbourne, Mandarin </w:t>
            </w:r>
            <w:r>
              <w:t xml:space="preserve">is </w:t>
            </w:r>
            <w:r w:rsidRPr="00532AB2">
              <w:t xml:space="preserve">the most commonly spoken language </w:t>
            </w:r>
            <w:r>
              <w:t xml:space="preserve">which coincides with </w:t>
            </w:r>
            <w:r w:rsidRPr="00532AB2">
              <w:t xml:space="preserve">China </w:t>
            </w:r>
            <w:r>
              <w:t xml:space="preserve">being </w:t>
            </w:r>
            <w:r w:rsidRPr="00532AB2">
              <w:t>the most common country of birth. Interestingly, despite Greece not making the top 5 most common countries of birth, Greek was the fourth most commonly spoken language amongst 12-17 year olds across Greater Melbourne.</w:t>
            </w:r>
          </w:p>
        </w:tc>
      </w:tr>
    </w:tbl>
    <w:p w:rsidR="00383C13" w:rsidRPr="009A477D" w:rsidRDefault="00383C13" w:rsidP="00383C13">
      <w:pPr>
        <w:rPr>
          <w:b/>
        </w:rPr>
      </w:pPr>
      <w:r>
        <w:rPr>
          <w:b/>
        </w:rPr>
        <w:t>Table 5: Language Spoken at Home by 18-25</w:t>
      </w:r>
      <w:r w:rsidRPr="009A477D">
        <w:rPr>
          <w:b/>
        </w:rPr>
        <w:t xml:space="preserve"> year</w:t>
      </w:r>
      <w:r>
        <w:rPr>
          <w:b/>
        </w:rPr>
        <w:t xml:space="preserve"> olds</w:t>
      </w:r>
      <w:r w:rsidRPr="009A477D">
        <w:rPr>
          <w:b/>
        </w:rPr>
        <w:t xml:space="preserve">, </w:t>
      </w:r>
      <w:r>
        <w:rPr>
          <w:b/>
        </w:rPr>
        <w:t xml:space="preserve">Wyndham and Greater Melbourne, </w:t>
      </w:r>
      <w:r w:rsidRPr="009A477D">
        <w:rPr>
          <w:b/>
        </w:rPr>
        <w:t>2016</w:t>
      </w:r>
    </w:p>
    <w:tbl>
      <w:tblPr>
        <w:tblW w:w="9792" w:type="dxa"/>
        <w:tblInd w:w="93" w:type="dxa"/>
        <w:tblLook w:val="04A0" w:firstRow="1" w:lastRow="0" w:firstColumn="1" w:lastColumn="0" w:noHBand="0" w:noVBand="1"/>
      </w:tblPr>
      <w:tblGrid>
        <w:gridCol w:w="1178"/>
        <w:gridCol w:w="2650"/>
        <w:gridCol w:w="1656"/>
        <w:gridCol w:w="2801"/>
        <w:gridCol w:w="1507"/>
      </w:tblGrid>
      <w:tr w:rsidR="002A0788" w:rsidRPr="00640FC9" w:rsidTr="00A17D76">
        <w:trPr>
          <w:trHeight w:val="369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2A0788" w:rsidRPr="004B4505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2A0788" w:rsidRPr="004B4505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4B450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2A0788" w:rsidRPr="004B4505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4B450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Greater Melbourne</w:t>
            </w:r>
          </w:p>
        </w:tc>
      </w:tr>
      <w:tr w:rsidR="002A0788" w:rsidTr="00A17D76">
        <w:trPr>
          <w:trHeight w:val="369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Punjabi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Mandarin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8.47%</w:t>
            </w:r>
          </w:p>
        </w:tc>
      </w:tr>
      <w:tr w:rsidR="002A0788" w:rsidTr="00A17D76">
        <w:trPr>
          <w:trHeight w:val="369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Mandarin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2.49%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Vietnamese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3.06%</w:t>
            </w:r>
          </w:p>
        </w:tc>
      </w:tr>
      <w:tr w:rsidR="002A0788" w:rsidTr="00A17D76">
        <w:trPr>
          <w:trHeight w:val="369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Arabic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2.36%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Cantonese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2.30%</w:t>
            </w:r>
          </w:p>
        </w:tc>
      </w:tr>
      <w:tr w:rsidR="002A0788" w:rsidTr="00A17D76">
        <w:trPr>
          <w:trHeight w:val="369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Hindi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2.06%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Arabic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1.93%</w:t>
            </w:r>
          </w:p>
        </w:tc>
      </w:tr>
      <w:tr w:rsidR="002A0788" w:rsidTr="00A17D76">
        <w:trPr>
          <w:trHeight w:val="369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Karen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1.98%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Punjabi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1.46%</w:t>
            </w:r>
          </w:p>
        </w:tc>
      </w:tr>
      <w:tr w:rsidR="002A0788" w:rsidTr="002A0788">
        <w:trPr>
          <w:trHeight w:val="588"/>
        </w:trPr>
        <w:tc>
          <w:tcPr>
            <w:tcW w:w="9792" w:type="dxa"/>
            <w:gridSpan w:val="5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2A0788" w:rsidRPr="00CE790E" w:rsidRDefault="002A0788" w:rsidP="003B3F49">
            <w:pPr>
              <w:rPr>
                <w:rFonts w:cs="Arial"/>
              </w:rPr>
            </w:pPr>
            <w:r>
              <w:rPr>
                <w:rFonts w:cs="Arial"/>
              </w:rPr>
              <w:t>The language profile of 18-25 year olds in Wyndham reflects the country of birth trends</w:t>
            </w:r>
            <w:r w:rsidR="003B3F49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where </w:t>
            </w:r>
            <w:r w:rsidRPr="00CE790E">
              <w:rPr>
                <w:rFonts w:cs="Arial"/>
              </w:rPr>
              <w:t xml:space="preserve">India is the most common country of birth </w:t>
            </w:r>
            <w:r>
              <w:rPr>
                <w:rFonts w:cs="Arial"/>
              </w:rPr>
              <w:t>and</w:t>
            </w:r>
            <w:r w:rsidRPr="00CE790E">
              <w:rPr>
                <w:rFonts w:cs="Arial"/>
              </w:rPr>
              <w:t xml:space="preserve"> Punjab</w:t>
            </w:r>
            <w:r>
              <w:rPr>
                <w:rFonts w:cs="Arial"/>
              </w:rPr>
              <w:t>i</w:t>
            </w:r>
            <w:r w:rsidRPr="00CE790E">
              <w:rPr>
                <w:rFonts w:cs="Arial"/>
              </w:rPr>
              <w:t>, a language native to India</w:t>
            </w:r>
            <w:r w:rsidR="00455A0F">
              <w:rPr>
                <w:rFonts w:cs="Arial"/>
              </w:rPr>
              <w:t>,</w:t>
            </w:r>
            <w:r w:rsidRPr="00CE790E">
              <w:rPr>
                <w:rFonts w:cs="Arial"/>
              </w:rPr>
              <w:t xml:space="preserve"> is the most commonly spoken language other than English. </w:t>
            </w:r>
          </w:p>
        </w:tc>
      </w:tr>
    </w:tbl>
    <w:p w:rsidR="0062594C" w:rsidRDefault="0062594C" w:rsidP="0062594C">
      <w:bookmarkStart w:id="9" w:name="_Toc499040151"/>
    </w:p>
    <w:p w:rsidR="0062594C" w:rsidRDefault="0062594C" w:rsidP="00495952">
      <w:pPr>
        <w:pStyle w:val="Heading2"/>
      </w:pPr>
    </w:p>
    <w:p w:rsidR="0062594C" w:rsidRDefault="0062594C" w:rsidP="00495952">
      <w:pPr>
        <w:pStyle w:val="Heading2"/>
      </w:pPr>
    </w:p>
    <w:p w:rsidR="0062594C" w:rsidRDefault="0062594C" w:rsidP="0062594C"/>
    <w:p w:rsidR="0062594C" w:rsidRDefault="0062594C" w:rsidP="0062594C"/>
    <w:p w:rsidR="0062594C" w:rsidRDefault="0062594C" w:rsidP="00495952">
      <w:pPr>
        <w:pStyle w:val="Heading2"/>
      </w:pPr>
    </w:p>
    <w:p w:rsidR="0062594C" w:rsidRDefault="0062594C" w:rsidP="0062594C"/>
    <w:p w:rsidR="0062594C" w:rsidRDefault="0062594C" w:rsidP="00495952">
      <w:pPr>
        <w:pStyle w:val="Heading2"/>
      </w:pPr>
    </w:p>
    <w:p w:rsidR="0062594C" w:rsidRDefault="0062594C" w:rsidP="0062594C"/>
    <w:p w:rsidR="0062594C" w:rsidRDefault="0062594C" w:rsidP="0062594C"/>
    <w:p w:rsidR="0062594C" w:rsidRDefault="0062594C" w:rsidP="0062594C"/>
    <w:p w:rsidR="00495952" w:rsidRDefault="00495952" w:rsidP="00495952">
      <w:pPr>
        <w:pStyle w:val="Heading2"/>
      </w:pPr>
      <w:r w:rsidRPr="00E207A9">
        <w:lastRenderedPageBreak/>
        <w:t>English proficiency</w:t>
      </w:r>
      <w:bookmarkEnd w:id="9"/>
      <w:r w:rsidRPr="00E207A9">
        <w:t xml:space="preserve"> </w:t>
      </w:r>
    </w:p>
    <w:p w:rsidR="00420C62" w:rsidRPr="00654429" w:rsidRDefault="00420C62" w:rsidP="00420C62">
      <w:pPr>
        <w:rPr>
          <w:b/>
        </w:rPr>
      </w:pPr>
      <w:r>
        <w:rPr>
          <w:b/>
        </w:rPr>
        <w:t xml:space="preserve">Figure 6: </w:t>
      </w:r>
      <w:r w:rsidRPr="00654429">
        <w:rPr>
          <w:b/>
        </w:rPr>
        <w:t>English Proficiency</w:t>
      </w:r>
      <w:r>
        <w:rPr>
          <w:b/>
        </w:rPr>
        <w:t xml:space="preserve"> of</w:t>
      </w:r>
      <w:r w:rsidRPr="00654429">
        <w:rPr>
          <w:b/>
        </w:rPr>
        <w:t xml:space="preserve"> 12-</w:t>
      </w:r>
      <w:r>
        <w:rPr>
          <w:b/>
        </w:rPr>
        <w:t>2</w:t>
      </w:r>
      <w:r w:rsidRPr="00654429">
        <w:rPr>
          <w:b/>
        </w:rPr>
        <w:t>5 year</w:t>
      </w:r>
      <w:r>
        <w:rPr>
          <w:b/>
        </w:rPr>
        <w:t xml:space="preserve"> olds, Wyndham and Greater Melbourne,</w:t>
      </w:r>
      <w:r w:rsidRPr="00654429">
        <w:rPr>
          <w:b/>
        </w:rPr>
        <w:t xml:space="preserve"> 2016 </w:t>
      </w: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495952" w:rsidTr="00271EFB">
        <w:tc>
          <w:tcPr>
            <w:tcW w:w="9464" w:type="dxa"/>
          </w:tcPr>
          <w:p w:rsidR="00495952" w:rsidRDefault="00495952" w:rsidP="00101365">
            <w:r>
              <w:rPr>
                <w:noProof/>
                <w:lang w:eastAsia="en-AU"/>
              </w:rPr>
              <w:drawing>
                <wp:inline distT="0" distB="0" distL="0" distR="0" wp14:anchorId="6933927B" wp14:editId="7A877270">
                  <wp:extent cx="5868237" cy="3275763"/>
                  <wp:effectExtent l="0" t="0" r="0" b="1270"/>
                  <wp:docPr id="12" name="Chart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  <w:tr w:rsidR="00495952" w:rsidTr="00271EFB">
        <w:tc>
          <w:tcPr>
            <w:tcW w:w="9464" w:type="dxa"/>
          </w:tcPr>
          <w:p w:rsidR="00495952" w:rsidRDefault="00495952" w:rsidP="00CF6E96">
            <w:r>
              <w:t xml:space="preserve">Another indicator of the cultural diversity is the proportion of people who speak only English at home. Young people aged 18-25 years in Wyndham and Greater Melbourne </w:t>
            </w:r>
            <w:r w:rsidR="00CF6E96">
              <w:t>is</w:t>
            </w:r>
            <w:r>
              <w:t xml:space="preserve"> the most diverse, with around 59% of residents who only speak English. In the 12-17 year age group, 63% from Wyndham only speak English, and 69% in Greater Melbourne. A relatively similar proportion of people can speak another language and English very well or well across both locations and all age groups. </w:t>
            </w:r>
          </w:p>
        </w:tc>
      </w:tr>
    </w:tbl>
    <w:p w:rsidR="002A0788" w:rsidRDefault="002A0788" w:rsidP="00A17D76">
      <w:pPr>
        <w:pStyle w:val="Heading2"/>
      </w:pPr>
      <w:bookmarkStart w:id="10" w:name="_Toc499040152"/>
      <w:r w:rsidRPr="00B11E60">
        <w:t>Religion</w:t>
      </w:r>
      <w:bookmarkEnd w:id="10"/>
    </w:p>
    <w:p w:rsidR="00230531" w:rsidRPr="009A477D" w:rsidRDefault="00230531" w:rsidP="00230531">
      <w:pPr>
        <w:rPr>
          <w:b/>
        </w:rPr>
      </w:pPr>
      <w:r>
        <w:rPr>
          <w:b/>
        </w:rPr>
        <w:t>Figure 6: Religious Affiliation of 12-17</w:t>
      </w:r>
      <w:r w:rsidRPr="009A477D">
        <w:rPr>
          <w:b/>
        </w:rPr>
        <w:t xml:space="preserve"> year</w:t>
      </w:r>
      <w:r>
        <w:rPr>
          <w:b/>
        </w:rPr>
        <w:t xml:space="preserve"> olds</w:t>
      </w:r>
      <w:r w:rsidRPr="009A477D">
        <w:rPr>
          <w:b/>
        </w:rPr>
        <w:t xml:space="preserve">, </w:t>
      </w:r>
      <w:r>
        <w:rPr>
          <w:b/>
        </w:rPr>
        <w:t xml:space="preserve">Wyndham and Greater Melbourne, </w:t>
      </w:r>
      <w:r w:rsidRPr="009A477D">
        <w:rPr>
          <w:b/>
        </w:rPr>
        <w:t>2016</w:t>
      </w: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2A0788" w:rsidTr="008F3E72">
        <w:tc>
          <w:tcPr>
            <w:tcW w:w="9606" w:type="dxa"/>
          </w:tcPr>
          <w:p w:rsidR="002A0788" w:rsidRDefault="002A0788" w:rsidP="002A0788">
            <w:r>
              <w:rPr>
                <w:noProof/>
                <w:lang w:eastAsia="en-AU"/>
              </w:rPr>
              <w:drawing>
                <wp:inline distT="0" distB="0" distL="0" distR="0" wp14:anchorId="393E3942" wp14:editId="23277B82">
                  <wp:extent cx="5290458" cy="2743200"/>
                  <wp:effectExtent l="0" t="0" r="5715" b="0"/>
                  <wp:docPr id="9" name="Chart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  <w:tr w:rsidR="002A0788" w:rsidTr="008F3E72">
        <w:tc>
          <w:tcPr>
            <w:tcW w:w="9606" w:type="dxa"/>
          </w:tcPr>
          <w:p w:rsidR="002A0788" w:rsidRDefault="002A0788" w:rsidP="00045FCE">
            <w:r>
              <w:t xml:space="preserve">According to 2016 Census data, religious affiliation is more common amongst Wyndham young people compared to young people across Greater Melbourne. Nearly 70% of 12-17 year olds in Wyndham were affiliated with a religion, compared to 60% of 12-17 year olds across Greater Melbourne. </w:t>
            </w:r>
            <w:r w:rsidR="00045FCE">
              <w:t>A</w:t>
            </w:r>
            <w:r>
              <w:t xml:space="preserve"> much larger proportion of young people across Greater Melbourne reported no religion on the 2016 Census </w:t>
            </w:r>
            <w:r>
              <w:lastRenderedPageBreak/>
              <w:t xml:space="preserve">compared to young people in Wyndham (31% and 24% respectively). </w:t>
            </w:r>
          </w:p>
        </w:tc>
      </w:tr>
    </w:tbl>
    <w:p w:rsidR="002A0788" w:rsidRDefault="002A0788" w:rsidP="002A0788"/>
    <w:p w:rsidR="00230531" w:rsidRPr="009A477D" w:rsidRDefault="00230531" w:rsidP="00230531">
      <w:pPr>
        <w:rPr>
          <w:b/>
        </w:rPr>
      </w:pPr>
      <w:r>
        <w:rPr>
          <w:b/>
        </w:rPr>
        <w:t>Figure 7: Religious Affiliation of 18-25</w:t>
      </w:r>
      <w:r w:rsidRPr="009A477D">
        <w:rPr>
          <w:b/>
        </w:rPr>
        <w:t xml:space="preserve"> year</w:t>
      </w:r>
      <w:r>
        <w:rPr>
          <w:b/>
        </w:rPr>
        <w:t xml:space="preserve"> olds</w:t>
      </w:r>
      <w:r w:rsidRPr="009A477D">
        <w:rPr>
          <w:b/>
        </w:rPr>
        <w:t xml:space="preserve">, </w:t>
      </w:r>
      <w:r>
        <w:rPr>
          <w:b/>
        </w:rPr>
        <w:t xml:space="preserve">Wyndham and Greater Melbourne, </w:t>
      </w:r>
      <w:r w:rsidRPr="009A477D">
        <w:rPr>
          <w:b/>
        </w:rPr>
        <w:t>2016</w:t>
      </w: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2A0788" w:rsidTr="00230531">
        <w:trPr>
          <w:trHeight w:val="4308"/>
        </w:trPr>
        <w:tc>
          <w:tcPr>
            <w:tcW w:w="9464" w:type="dxa"/>
          </w:tcPr>
          <w:p w:rsidR="002A0788" w:rsidRDefault="002A0788" w:rsidP="002A0788">
            <w:r>
              <w:rPr>
                <w:noProof/>
                <w:lang w:eastAsia="en-AU"/>
              </w:rPr>
              <w:drawing>
                <wp:inline distT="0" distB="0" distL="0" distR="0" wp14:anchorId="3CB9FE99" wp14:editId="4668FB4A">
                  <wp:extent cx="5400675" cy="2743200"/>
                  <wp:effectExtent l="0" t="0" r="0" b="0"/>
                  <wp:docPr id="10" name="Chart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  <w:tr w:rsidR="002A0788" w:rsidTr="00230531">
        <w:trPr>
          <w:trHeight w:val="267"/>
        </w:trPr>
        <w:tc>
          <w:tcPr>
            <w:tcW w:w="9464" w:type="dxa"/>
          </w:tcPr>
          <w:p w:rsidR="002A0788" w:rsidRDefault="002A0788" w:rsidP="002A0788">
            <w:r>
              <w:t>Religious affiliation amongst 18-25 year olds in Wyndham is relatively high compared to Greater Melbourne. 63% of Wyndham’s 18-25 year old population were affiliated with a religion, compared to just over 50% across Greater Melbourne. Christianity was the most popular religion</w:t>
            </w:r>
            <w:r w:rsidR="00CF6E96">
              <w:t xml:space="preserve"> in Wyndham</w:t>
            </w:r>
            <w:r>
              <w:t xml:space="preserve">, followed by Islam and Hinduism. </w:t>
            </w:r>
          </w:p>
        </w:tc>
      </w:tr>
    </w:tbl>
    <w:p w:rsidR="002A0788" w:rsidRDefault="002A0788" w:rsidP="00951BB4">
      <w:pPr>
        <w:pStyle w:val="Heading1"/>
      </w:pPr>
      <w:bookmarkStart w:id="11" w:name="_Toc499040153"/>
      <w:r w:rsidRPr="00C84329">
        <w:t>Education</w:t>
      </w:r>
      <w:bookmarkEnd w:id="11"/>
    </w:p>
    <w:p w:rsidR="00951BB4" w:rsidRDefault="00933C2C" w:rsidP="00933C2C">
      <w:pPr>
        <w:pStyle w:val="Heading2"/>
      </w:pPr>
      <w:bookmarkStart w:id="12" w:name="_Toc499040154"/>
      <w:r>
        <w:t>High School</w:t>
      </w:r>
      <w:bookmarkEnd w:id="12"/>
    </w:p>
    <w:p w:rsidR="00933C2C" w:rsidRPr="00933C2C" w:rsidRDefault="00933C2C" w:rsidP="00933C2C">
      <w:r>
        <w:rPr>
          <w:rFonts w:ascii="Arial" w:eastAsia="Times New Roman" w:hAnsi="Arial" w:cs="Arial"/>
          <w:b/>
          <w:bCs/>
          <w:sz w:val="20"/>
          <w:szCs w:val="20"/>
          <w:lang w:eastAsia="en-AU"/>
        </w:rPr>
        <w:t xml:space="preserve">Table 7: </w:t>
      </w:r>
      <w:r w:rsidRPr="008E1292">
        <w:rPr>
          <w:rFonts w:ascii="Arial" w:eastAsia="Times New Roman" w:hAnsi="Arial" w:cs="Arial"/>
          <w:b/>
          <w:bCs/>
          <w:sz w:val="20"/>
          <w:szCs w:val="20"/>
          <w:lang w:eastAsia="en-AU"/>
        </w:rPr>
        <w:t>Highest Year of School Completed</w:t>
      </w:r>
      <w:r w:rsidR="00CF6E96">
        <w:rPr>
          <w:rFonts w:ascii="Arial" w:eastAsia="Times New Roman" w:hAnsi="Arial" w:cs="Arial"/>
          <w:b/>
          <w:bCs/>
          <w:sz w:val="20"/>
          <w:szCs w:val="20"/>
          <w:lang w:eastAsia="en-AU"/>
        </w:rPr>
        <w:t xml:space="preserve"> of 20-25 years</w:t>
      </w:r>
      <w:r>
        <w:rPr>
          <w:rFonts w:ascii="Arial" w:eastAsia="Times New Roman" w:hAnsi="Arial" w:cs="Arial"/>
          <w:b/>
          <w:bCs/>
          <w:sz w:val="20"/>
          <w:szCs w:val="20"/>
          <w:lang w:eastAsia="en-AU"/>
        </w:rPr>
        <w:t>, Wyndham and Greater Melbourne 2016</w:t>
      </w:r>
    </w:p>
    <w:tbl>
      <w:tblPr>
        <w:tblW w:w="5402" w:type="dxa"/>
        <w:tblInd w:w="93" w:type="dxa"/>
        <w:tblLook w:val="04A0" w:firstRow="1" w:lastRow="0" w:firstColumn="1" w:lastColumn="0" w:noHBand="0" w:noVBand="1"/>
      </w:tblPr>
      <w:tblGrid>
        <w:gridCol w:w="2283"/>
        <w:gridCol w:w="1560"/>
        <w:gridCol w:w="1559"/>
      </w:tblGrid>
      <w:tr w:rsidR="00933C2C" w:rsidRPr="0057782D" w:rsidTr="00101365">
        <w:trPr>
          <w:trHeight w:val="765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933C2C" w:rsidRPr="0057782D" w:rsidRDefault="00933C2C" w:rsidP="001013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933C2C" w:rsidRPr="0057782D" w:rsidRDefault="00933C2C" w:rsidP="001013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57782D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 xml:space="preserve">Wyndham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933C2C" w:rsidRPr="0057782D" w:rsidRDefault="00933C2C" w:rsidP="001013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57782D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Greater Melbourne</w:t>
            </w:r>
          </w:p>
        </w:tc>
      </w:tr>
      <w:tr w:rsidR="00933C2C" w:rsidRPr="008E1292" w:rsidTr="00101365">
        <w:trPr>
          <w:trHeight w:val="51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Year 12 or equivalent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71.9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</w:t>
            </w: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79.78%</w:t>
            </w:r>
          </w:p>
        </w:tc>
      </w:tr>
      <w:tr w:rsidR="00933C2C" w:rsidRPr="008E1292" w:rsidTr="00101365">
        <w:trPr>
          <w:trHeight w:val="51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Year 11 or equivalent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8.1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</w:t>
            </w: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5.34%</w:t>
            </w:r>
          </w:p>
        </w:tc>
      </w:tr>
      <w:tr w:rsidR="00933C2C" w:rsidRPr="008E1292" w:rsidTr="00101365">
        <w:trPr>
          <w:trHeight w:val="51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Year 10 or equivalent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8.79%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1.45%</w:t>
            </w:r>
          </w:p>
        </w:tc>
      </w:tr>
      <w:tr w:rsidR="00933C2C" w:rsidRPr="008E1292" w:rsidTr="00101365">
        <w:trPr>
          <w:trHeight w:val="51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Year 9 or equivalent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2.23%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0.78%</w:t>
            </w:r>
          </w:p>
        </w:tc>
      </w:tr>
      <w:tr w:rsidR="00933C2C" w:rsidRPr="008E1292" w:rsidTr="00101365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Year 8 or below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1.33%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0.48%</w:t>
            </w:r>
          </w:p>
        </w:tc>
      </w:tr>
      <w:tr w:rsidR="00933C2C" w:rsidRPr="008E1292" w:rsidTr="00101365">
        <w:trPr>
          <w:trHeight w:val="51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Did not go to school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0.41%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6.5%</w:t>
            </w:r>
          </w:p>
        </w:tc>
      </w:tr>
      <w:tr w:rsidR="00933C2C" w:rsidRPr="008E1292" w:rsidTr="00101365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Total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100.0%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100.0%</w:t>
            </w:r>
          </w:p>
        </w:tc>
      </w:tr>
    </w:tbl>
    <w:p w:rsidR="002A0788" w:rsidRPr="00D8625E" w:rsidRDefault="002A0788" w:rsidP="002A0788"/>
    <w:p w:rsidR="002A0788" w:rsidRDefault="00933C2C" w:rsidP="002A0788">
      <w:pPr>
        <w:spacing w:after="120"/>
        <w:rPr>
          <w:b/>
        </w:rPr>
      </w:pPr>
      <w:r w:rsidRPr="00654429">
        <w:rPr>
          <w:rFonts w:eastAsia="Times New Roman" w:cs="Arial"/>
          <w:bCs/>
          <w:lang w:eastAsia="en-AU"/>
        </w:rPr>
        <w:lastRenderedPageBreak/>
        <w:t>High school retention rates in Wyndham are lower than across Greater Melbourne. In 2016, 72% of Wyndham residents aged 20-25 years had completed year 12 or equivalent, compared to 80% of 20-25 year olds across Greater Melbourne.</w:t>
      </w:r>
    </w:p>
    <w:p w:rsidR="00114A0B" w:rsidRPr="00C84329" w:rsidRDefault="00114A0B" w:rsidP="00114A0B">
      <w:pPr>
        <w:spacing w:after="120"/>
        <w:rPr>
          <w:b/>
        </w:rPr>
      </w:pPr>
      <w:r>
        <w:rPr>
          <w:b/>
        </w:rPr>
        <w:t xml:space="preserve">Figure 8: </w:t>
      </w:r>
      <w:r w:rsidRPr="00C84329">
        <w:rPr>
          <w:b/>
        </w:rPr>
        <w:t xml:space="preserve">Highest </w:t>
      </w:r>
      <w:r>
        <w:rPr>
          <w:b/>
        </w:rPr>
        <w:t>L</w:t>
      </w:r>
      <w:r w:rsidRPr="00C84329">
        <w:rPr>
          <w:b/>
        </w:rPr>
        <w:t xml:space="preserve">evel of </w:t>
      </w:r>
      <w:r>
        <w:rPr>
          <w:b/>
        </w:rPr>
        <w:t>E</w:t>
      </w:r>
      <w:r w:rsidRPr="00C84329">
        <w:rPr>
          <w:b/>
        </w:rPr>
        <w:t>ducation</w:t>
      </w:r>
      <w:r>
        <w:rPr>
          <w:b/>
        </w:rPr>
        <w:t xml:space="preserve"> Attained by</w:t>
      </w:r>
      <w:r w:rsidRPr="00C84329">
        <w:rPr>
          <w:b/>
        </w:rPr>
        <w:t xml:space="preserve"> 1</w:t>
      </w:r>
      <w:r w:rsidR="000A568F">
        <w:rPr>
          <w:b/>
        </w:rPr>
        <w:t>8</w:t>
      </w:r>
      <w:r>
        <w:rPr>
          <w:b/>
        </w:rPr>
        <w:t>-25</w:t>
      </w:r>
      <w:r w:rsidRPr="00C84329">
        <w:rPr>
          <w:b/>
        </w:rPr>
        <w:t xml:space="preserve"> year</w:t>
      </w:r>
      <w:r>
        <w:rPr>
          <w:b/>
        </w:rPr>
        <w:t xml:space="preserve"> olds</w:t>
      </w:r>
      <w:r w:rsidRPr="00C84329">
        <w:rPr>
          <w:b/>
        </w:rPr>
        <w:t xml:space="preserve">, </w:t>
      </w:r>
      <w:r>
        <w:rPr>
          <w:b/>
        </w:rPr>
        <w:t>Wyndham and Greater Melbourne, 2</w:t>
      </w:r>
      <w:r w:rsidRPr="00C84329">
        <w:rPr>
          <w:b/>
        </w:rPr>
        <w:t>01</w:t>
      </w:r>
      <w:r w:rsidR="000A568F">
        <w:rPr>
          <w:b/>
        </w:rPr>
        <w:t>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2A0788" w:rsidTr="000A568F">
        <w:tc>
          <w:tcPr>
            <w:tcW w:w="9242" w:type="dxa"/>
          </w:tcPr>
          <w:p w:rsidR="002A0788" w:rsidRDefault="000A568F" w:rsidP="002A0788">
            <w:r>
              <w:rPr>
                <w:noProof/>
                <w:lang w:eastAsia="en-AU"/>
              </w:rPr>
              <w:drawing>
                <wp:inline distT="0" distB="0" distL="0" distR="0" wp14:anchorId="42B7D43D" wp14:editId="58D364BD">
                  <wp:extent cx="5526593" cy="2703006"/>
                  <wp:effectExtent l="0" t="0" r="0" b="2540"/>
                  <wp:docPr id="16" name="Chart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2A0788" w:rsidTr="000A568F">
        <w:tc>
          <w:tcPr>
            <w:tcW w:w="9242" w:type="dxa"/>
          </w:tcPr>
          <w:p w:rsidR="002A0788" w:rsidRDefault="002A0788" w:rsidP="000A568F">
            <w:r>
              <w:t>In Wyndham, the most common qualification held by young people is a certificate (18%), followed by Bachelor degrees</w:t>
            </w:r>
            <w:r w:rsidR="008E6784">
              <w:t xml:space="preserve"> (1</w:t>
            </w:r>
            <w:r w:rsidR="000A568F">
              <w:t>1</w:t>
            </w:r>
            <w:r w:rsidR="008E6784">
              <w:t>%)</w:t>
            </w:r>
            <w:r>
              <w:t xml:space="preserve"> and Advanced diplomas/diplomas</w:t>
            </w:r>
            <w:r w:rsidR="008E6784">
              <w:t xml:space="preserve"> (</w:t>
            </w:r>
            <w:r w:rsidR="000A568F">
              <w:t>7</w:t>
            </w:r>
            <w:r w:rsidR="008E6784">
              <w:t>%)</w:t>
            </w:r>
            <w:r>
              <w:t xml:space="preserve">. Across Greater Melbourne, </w:t>
            </w:r>
            <w:r w:rsidR="008E6784">
              <w:t xml:space="preserve">education attainment is higher, with </w:t>
            </w:r>
            <w:r w:rsidR="000A568F">
              <w:t>18</w:t>
            </w:r>
            <w:r w:rsidR="008E6784">
              <w:t xml:space="preserve">% of young people with a bachelor </w:t>
            </w:r>
            <w:r w:rsidR="000A568F">
              <w:t>degree or higher</w:t>
            </w:r>
            <w:r w:rsidR="008E6784">
              <w:t>, compared to 1</w:t>
            </w:r>
            <w:r w:rsidR="000A568F">
              <w:t>3</w:t>
            </w:r>
            <w:r w:rsidR="008E6784">
              <w:t>% of Wyndham young people.</w:t>
            </w:r>
            <w:r>
              <w:t xml:space="preserve"> </w:t>
            </w:r>
          </w:p>
        </w:tc>
      </w:tr>
    </w:tbl>
    <w:p w:rsidR="002A0788" w:rsidRDefault="002A0788" w:rsidP="00114A0B">
      <w:pPr>
        <w:pStyle w:val="Heading1"/>
      </w:pPr>
      <w:bookmarkStart w:id="13" w:name="_Toc499040155"/>
      <w:r w:rsidRPr="00D74198">
        <w:t>Employment</w:t>
      </w:r>
      <w:bookmarkEnd w:id="13"/>
    </w:p>
    <w:p w:rsidR="0027695F" w:rsidRPr="006C1879" w:rsidRDefault="0027695F" w:rsidP="0027695F">
      <w:pPr>
        <w:rPr>
          <w:b/>
        </w:rPr>
      </w:pPr>
      <w:r>
        <w:rPr>
          <w:b/>
        </w:rPr>
        <w:t xml:space="preserve">Figure 9: </w:t>
      </w:r>
      <w:r w:rsidRPr="006C1879">
        <w:rPr>
          <w:b/>
        </w:rPr>
        <w:t xml:space="preserve">Employment </w:t>
      </w:r>
      <w:r>
        <w:rPr>
          <w:b/>
        </w:rPr>
        <w:t>S</w:t>
      </w:r>
      <w:r w:rsidRPr="006C1879">
        <w:rPr>
          <w:b/>
        </w:rPr>
        <w:t>tatus</w:t>
      </w:r>
      <w:r>
        <w:rPr>
          <w:b/>
        </w:rPr>
        <w:t xml:space="preserve"> of </w:t>
      </w:r>
      <w:r w:rsidRPr="006C1879">
        <w:rPr>
          <w:b/>
        </w:rPr>
        <w:t>15-25 year</w:t>
      </w:r>
      <w:r>
        <w:rPr>
          <w:b/>
        </w:rPr>
        <w:t xml:space="preserve"> old</w:t>
      </w:r>
      <w:r w:rsidRPr="006C1879">
        <w:rPr>
          <w:b/>
        </w:rPr>
        <w:t xml:space="preserve">s, </w:t>
      </w:r>
      <w:r>
        <w:rPr>
          <w:b/>
        </w:rPr>
        <w:t xml:space="preserve">Wyndham and Greater Melbourne, </w:t>
      </w:r>
      <w:r w:rsidRPr="006C1879">
        <w:rPr>
          <w:b/>
        </w:rPr>
        <w:t>201</w:t>
      </w:r>
      <w:r w:rsidR="001646FA">
        <w:rPr>
          <w:b/>
        </w:rPr>
        <w:t>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6"/>
      </w:tblGrid>
      <w:tr w:rsidR="00114A0B" w:rsidTr="00EA74AD">
        <w:trPr>
          <w:trHeight w:val="4449"/>
        </w:trPr>
        <w:tc>
          <w:tcPr>
            <w:tcW w:w="6109" w:type="dxa"/>
          </w:tcPr>
          <w:p w:rsidR="00114A0B" w:rsidRDefault="00EA74AD" w:rsidP="002A0788">
            <w:r>
              <w:rPr>
                <w:noProof/>
                <w:lang w:eastAsia="en-AU"/>
              </w:rPr>
              <w:drawing>
                <wp:inline distT="0" distB="0" distL="0" distR="0" wp14:anchorId="056E87A6" wp14:editId="22A02A1F">
                  <wp:extent cx="4572000" cy="2743200"/>
                  <wp:effectExtent l="0" t="0" r="0" b="0"/>
                  <wp:docPr id="5" name="Chart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</w:tbl>
    <w:p w:rsidR="002A0788" w:rsidRPr="00801B5E" w:rsidRDefault="002A0788" w:rsidP="002A0788"/>
    <w:p w:rsidR="00301759" w:rsidRPr="002C1036" w:rsidRDefault="00301759" w:rsidP="00301759">
      <w:r w:rsidRPr="0083067A">
        <w:lastRenderedPageBreak/>
        <w:t xml:space="preserve">Employment rates amongst young people are </w:t>
      </w:r>
      <w:r w:rsidR="001646FA">
        <w:t>relatively</w:t>
      </w:r>
      <w:r w:rsidRPr="0083067A">
        <w:t xml:space="preserve"> similar </w:t>
      </w:r>
      <w:r>
        <w:t>between</w:t>
      </w:r>
      <w:r w:rsidRPr="0083067A">
        <w:t xml:space="preserve"> Wyndham and Greater Melbourne. In 201</w:t>
      </w:r>
      <w:r w:rsidR="001646FA">
        <w:t>6</w:t>
      </w:r>
      <w:r w:rsidRPr="0083067A">
        <w:t xml:space="preserve">, </w:t>
      </w:r>
      <w:r w:rsidR="001646FA">
        <w:t>49</w:t>
      </w:r>
      <w:r w:rsidRPr="0083067A">
        <w:t xml:space="preserve">% of Wyndham 15-25 year olds were </w:t>
      </w:r>
      <w:r w:rsidR="005A655C" w:rsidRPr="0083067A">
        <w:t>employed</w:t>
      </w:r>
      <w:r>
        <w:t xml:space="preserve"> compared with </w:t>
      </w:r>
      <w:r w:rsidRPr="0083067A">
        <w:t>5</w:t>
      </w:r>
      <w:r w:rsidR="001646FA">
        <w:t>1</w:t>
      </w:r>
      <w:r w:rsidRPr="0083067A">
        <w:t>% of 15-25 year olds across Greater Melbourne. Similarly, around 3</w:t>
      </w:r>
      <w:r w:rsidR="001646FA">
        <w:t>5</w:t>
      </w:r>
      <w:r w:rsidRPr="0083067A">
        <w:t>% of young people in both Wyndham and Greater Melbourne were not in the labour force.</w:t>
      </w:r>
      <w:r>
        <w:t xml:space="preserve"> This is not equivalent to an unemployment rate given that many young people are enrolled in an educational institute.</w:t>
      </w:r>
    </w:p>
    <w:p w:rsidR="00301759" w:rsidRPr="00654429" w:rsidRDefault="00301759" w:rsidP="00301759">
      <w:pPr>
        <w:rPr>
          <w:b/>
        </w:rPr>
      </w:pPr>
      <w:r>
        <w:rPr>
          <w:b/>
        </w:rPr>
        <w:t xml:space="preserve">Table 8: Most Common </w:t>
      </w:r>
      <w:r w:rsidRPr="00654429">
        <w:rPr>
          <w:b/>
        </w:rPr>
        <w:t>Industr</w:t>
      </w:r>
      <w:r>
        <w:rPr>
          <w:b/>
        </w:rPr>
        <w:t>ies</w:t>
      </w:r>
      <w:r w:rsidRPr="00654429">
        <w:rPr>
          <w:b/>
        </w:rPr>
        <w:t xml:space="preserve"> of </w:t>
      </w:r>
      <w:r>
        <w:rPr>
          <w:b/>
        </w:rPr>
        <w:t>E</w:t>
      </w:r>
      <w:r w:rsidRPr="00654429">
        <w:rPr>
          <w:b/>
        </w:rPr>
        <w:t>mployment</w:t>
      </w:r>
      <w:r>
        <w:rPr>
          <w:b/>
        </w:rPr>
        <w:t xml:space="preserve"> of</w:t>
      </w:r>
      <w:r w:rsidRPr="00654429">
        <w:rPr>
          <w:b/>
        </w:rPr>
        <w:t xml:space="preserve"> 15</w:t>
      </w:r>
      <w:r>
        <w:rPr>
          <w:b/>
        </w:rPr>
        <w:t>-25</w:t>
      </w:r>
      <w:r w:rsidRPr="00654429">
        <w:rPr>
          <w:b/>
        </w:rPr>
        <w:t xml:space="preserve"> year</w:t>
      </w:r>
      <w:r>
        <w:rPr>
          <w:b/>
        </w:rPr>
        <w:t xml:space="preserve"> olds, Wyndham and Greater Melbourne</w:t>
      </w:r>
      <w:r w:rsidRPr="00654429">
        <w:rPr>
          <w:b/>
        </w:rPr>
        <w:t>, 201</w:t>
      </w:r>
      <w:r w:rsidR="002D1CF2">
        <w:rPr>
          <w:b/>
        </w:rPr>
        <w:t>6</w:t>
      </w:r>
    </w:p>
    <w:tbl>
      <w:tblPr>
        <w:tblW w:w="87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0"/>
        <w:gridCol w:w="2180"/>
        <w:gridCol w:w="2180"/>
        <w:gridCol w:w="2180"/>
      </w:tblGrid>
      <w:tr w:rsidR="002A0788" w:rsidRPr="009E63CE" w:rsidTr="00533249">
        <w:trPr>
          <w:trHeight w:val="495"/>
        </w:trPr>
        <w:tc>
          <w:tcPr>
            <w:tcW w:w="2180" w:type="dxa"/>
            <w:shd w:val="clear" w:color="auto" w:fill="365F91" w:themeFill="accent1" w:themeFillShade="BF"/>
            <w:vAlign w:val="center"/>
          </w:tcPr>
          <w:p w:rsidR="002A0788" w:rsidRPr="006E6985" w:rsidRDefault="002A0788" w:rsidP="005332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6E698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Industry</w:t>
            </w:r>
          </w:p>
        </w:tc>
        <w:tc>
          <w:tcPr>
            <w:tcW w:w="2180" w:type="dxa"/>
            <w:shd w:val="clear" w:color="auto" w:fill="365F91" w:themeFill="accent1" w:themeFillShade="BF"/>
            <w:noWrap/>
            <w:vAlign w:val="center"/>
          </w:tcPr>
          <w:p w:rsidR="002A0788" w:rsidRPr="006E6985" w:rsidRDefault="002A0788" w:rsidP="005332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6E698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2180" w:type="dxa"/>
            <w:shd w:val="clear" w:color="auto" w:fill="365F91" w:themeFill="accent1" w:themeFillShade="BF"/>
            <w:vAlign w:val="center"/>
          </w:tcPr>
          <w:p w:rsidR="002A0788" w:rsidRPr="006E6985" w:rsidRDefault="00533249" w:rsidP="005332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6E698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Industry</w:t>
            </w:r>
          </w:p>
        </w:tc>
        <w:tc>
          <w:tcPr>
            <w:tcW w:w="2180" w:type="dxa"/>
            <w:shd w:val="clear" w:color="auto" w:fill="365F91" w:themeFill="accent1" w:themeFillShade="BF"/>
            <w:noWrap/>
            <w:vAlign w:val="center"/>
          </w:tcPr>
          <w:p w:rsidR="002A0788" w:rsidRPr="006E6985" w:rsidRDefault="002A0788" w:rsidP="005332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6E698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Greater Melbourne</w:t>
            </w:r>
          </w:p>
        </w:tc>
      </w:tr>
      <w:tr w:rsidR="002A0788" w:rsidRPr="009E63CE" w:rsidTr="002A0788">
        <w:trPr>
          <w:trHeight w:val="495"/>
        </w:trPr>
        <w:tc>
          <w:tcPr>
            <w:tcW w:w="2180" w:type="dxa"/>
            <w:shd w:val="clear" w:color="auto" w:fill="auto"/>
            <w:vAlign w:val="center"/>
          </w:tcPr>
          <w:p w:rsidR="002A0788" w:rsidRPr="009E63CE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9E63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Retail Trade</w:t>
            </w:r>
          </w:p>
        </w:tc>
        <w:tc>
          <w:tcPr>
            <w:tcW w:w="2180" w:type="dxa"/>
            <w:shd w:val="clear" w:color="auto" w:fill="auto"/>
            <w:noWrap/>
            <w:vAlign w:val="center"/>
          </w:tcPr>
          <w:p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21.5</w:t>
            </w:r>
            <w:r w:rsidR="002A0788" w:rsidRPr="009E63C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2180" w:type="dxa"/>
            <w:vAlign w:val="center"/>
          </w:tcPr>
          <w:p w:rsidR="002A0788" w:rsidRPr="009E63CE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9E63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Retail Trade</w:t>
            </w:r>
          </w:p>
        </w:tc>
        <w:tc>
          <w:tcPr>
            <w:tcW w:w="2180" w:type="dxa"/>
            <w:shd w:val="clear" w:color="auto" w:fill="auto"/>
            <w:noWrap/>
            <w:vAlign w:val="center"/>
          </w:tcPr>
          <w:p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20.7</w:t>
            </w:r>
            <w:r w:rsidR="002A0788" w:rsidRPr="009E63C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</w:tr>
      <w:tr w:rsidR="002A0788" w:rsidRPr="009E63CE" w:rsidTr="002A0788">
        <w:trPr>
          <w:trHeight w:val="495"/>
        </w:trPr>
        <w:tc>
          <w:tcPr>
            <w:tcW w:w="2180" w:type="dxa"/>
            <w:shd w:val="clear" w:color="auto" w:fill="auto"/>
            <w:vAlign w:val="center"/>
          </w:tcPr>
          <w:p w:rsidR="002A0788" w:rsidRPr="009E63CE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9E63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Accommodation and Food Services</w:t>
            </w:r>
          </w:p>
        </w:tc>
        <w:tc>
          <w:tcPr>
            <w:tcW w:w="2180" w:type="dxa"/>
            <w:shd w:val="clear" w:color="auto" w:fill="auto"/>
            <w:noWrap/>
            <w:vAlign w:val="center"/>
          </w:tcPr>
          <w:p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17.9</w:t>
            </w:r>
            <w:r w:rsidR="002A0788" w:rsidRPr="009E63C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2180" w:type="dxa"/>
            <w:vAlign w:val="center"/>
          </w:tcPr>
          <w:p w:rsidR="002A0788" w:rsidRPr="009E63CE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9E63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Accommodation and Food Services</w:t>
            </w:r>
          </w:p>
        </w:tc>
        <w:tc>
          <w:tcPr>
            <w:tcW w:w="2180" w:type="dxa"/>
            <w:shd w:val="clear" w:color="auto" w:fill="auto"/>
            <w:noWrap/>
            <w:vAlign w:val="center"/>
          </w:tcPr>
          <w:p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18.7</w:t>
            </w:r>
            <w:r w:rsidR="002A0788" w:rsidRPr="009E63C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</w:tr>
      <w:tr w:rsidR="002A0788" w:rsidRPr="009E63CE" w:rsidTr="002A0788">
        <w:trPr>
          <w:trHeight w:val="495"/>
        </w:trPr>
        <w:tc>
          <w:tcPr>
            <w:tcW w:w="2180" w:type="dxa"/>
            <w:shd w:val="clear" w:color="auto" w:fill="auto"/>
            <w:vAlign w:val="center"/>
            <w:hideMark/>
          </w:tcPr>
          <w:p w:rsidR="002A0788" w:rsidRPr="009E63CE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9E63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Construction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9.3</w:t>
            </w:r>
            <w:r w:rsidR="002A0788" w:rsidRPr="009E63C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2180" w:type="dxa"/>
            <w:vAlign w:val="center"/>
          </w:tcPr>
          <w:p w:rsidR="002A0788" w:rsidRPr="009E63CE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9E63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Construction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8.6</w:t>
            </w:r>
            <w:r w:rsidR="002A0788" w:rsidRPr="009E63C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</w:tr>
      <w:tr w:rsidR="002A0788" w:rsidRPr="009E63CE" w:rsidTr="002A0788">
        <w:trPr>
          <w:trHeight w:val="495"/>
        </w:trPr>
        <w:tc>
          <w:tcPr>
            <w:tcW w:w="2180" w:type="dxa"/>
            <w:shd w:val="clear" w:color="auto" w:fill="auto"/>
            <w:vAlign w:val="center"/>
          </w:tcPr>
          <w:p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 xml:space="preserve">Health Care and Social Assistance </w:t>
            </w:r>
          </w:p>
        </w:tc>
        <w:tc>
          <w:tcPr>
            <w:tcW w:w="2180" w:type="dxa"/>
            <w:shd w:val="clear" w:color="auto" w:fill="auto"/>
            <w:noWrap/>
            <w:vAlign w:val="center"/>
          </w:tcPr>
          <w:p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6.9</w:t>
            </w:r>
            <w:r w:rsidR="002A0788" w:rsidRPr="009E63C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2180" w:type="dxa"/>
            <w:vAlign w:val="center"/>
          </w:tcPr>
          <w:p w:rsidR="002A0788" w:rsidRPr="009E63CE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9E63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Health Care and Social Assistance</w:t>
            </w:r>
          </w:p>
        </w:tc>
        <w:tc>
          <w:tcPr>
            <w:tcW w:w="2180" w:type="dxa"/>
            <w:shd w:val="clear" w:color="auto" w:fill="auto"/>
            <w:noWrap/>
            <w:vAlign w:val="center"/>
          </w:tcPr>
          <w:p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7.4</w:t>
            </w:r>
            <w:r w:rsidR="002A0788" w:rsidRPr="009E63C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</w:tr>
      <w:tr w:rsidR="002A0788" w:rsidRPr="009E63CE" w:rsidTr="002A0788">
        <w:trPr>
          <w:trHeight w:val="495"/>
        </w:trPr>
        <w:tc>
          <w:tcPr>
            <w:tcW w:w="21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Transport, Postal and Warehousing</w:t>
            </w:r>
          </w:p>
        </w:tc>
        <w:tc>
          <w:tcPr>
            <w:tcW w:w="21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788" w:rsidRPr="009E63CE" w:rsidRDefault="002D1CF2" w:rsidP="002D1C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5.9</w:t>
            </w:r>
            <w:r w:rsidR="002A0788" w:rsidRPr="009E63C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2180" w:type="dxa"/>
            <w:tcBorders>
              <w:bottom w:val="single" w:sz="4" w:space="0" w:color="auto"/>
            </w:tcBorders>
            <w:vAlign w:val="center"/>
          </w:tcPr>
          <w:p w:rsidR="002A0788" w:rsidRPr="009E63CE" w:rsidRDefault="002D1CF2" w:rsidP="002A0788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Education and Training</w:t>
            </w:r>
          </w:p>
        </w:tc>
        <w:tc>
          <w:tcPr>
            <w:tcW w:w="21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788" w:rsidRPr="009E63CE" w:rsidRDefault="002D1CF2" w:rsidP="002A078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6.0</w:t>
            </w:r>
            <w:r w:rsidR="002A0788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2A0788" w:rsidRPr="009E63CE" w:rsidTr="002A0788">
        <w:trPr>
          <w:trHeight w:val="564"/>
        </w:trPr>
        <w:tc>
          <w:tcPr>
            <w:tcW w:w="8720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0788" w:rsidRPr="00B32DD7" w:rsidRDefault="00301759" w:rsidP="002D1CF2">
            <w:pPr>
              <w:spacing w:after="0"/>
              <w:rPr>
                <w:rFonts w:cs="Arial"/>
              </w:rPr>
            </w:pPr>
            <w:r w:rsidRPr="006752CD">
              <w:t>The most common industries of employment for young people in Wyndham and Greater Melbourne are retail and accommodation and food services.</w:t>
            </w:r>
            <w:r>
              <w:t xml:space="preserve"> Both of these industries facilitate part time work that students can perform while attaining an education.</w:t>
            </w:r>
          </w:p>
        </w:tc>
      </w:tr>
    </w:tbl>
    <w:p w:rsidR="002A0788" w:rsidRDefault="002A0788" w:rsidP="002A0788">
      <w:pPr>
        <w:rPr>
          <w:b/>
        </w:rPr>
      </w:pPr>
    </w:p>
    <w:p w:rsidR="00301759" w:rsidRPr="00F43D0F" w:rsidRDefault="00301759" w:rsidP="00301759">
      <w:pPr>
        <w:rPr>
          <w:b/>
        </w:rPr>
      </w:pPr>
      <w:r>
        <w:rPr>
          <w:b/>
        </w:rPr>
        <w:t>Table 9: Method of Travel to Work of 15-25 year olds, Wyndham and Greater Melbourne, 201</w:t>
      </w:r>
      <w:r w:rsidR="000B49DC">
        <w:rPr>
          <w:b/>
        </w:rPr>
        <w:t>6</w:t>
      </w:r>
      <w:r>
        <w:rPr>
          <w:b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822"/>
        <w:gridCol w:w="2950"/>
        <w:gridCol w:w="2952"/>
      </w:tblGrid>
      <w:tr w:rsidR="002A0788" w:rsidTr="00301759">
        <w:trPr>
          <w:trHeight w:val="564"/>
        </w:trPr>
        <w:tc>
          <w:tcPr>
            <w:tcW w:w="2822" w:type="dxa"/>
            <w:shd w:val="clear" w:color="auto" w:fill="365F91" w:themeFill="accent1" w:themeFillShade="BF"/>
            <w:vAlign w:val="center"/>
          </w:tcPr>
          <w:p w:rsidR="002A0788" w:rsidRPr="006E6985" w:rsidRDefault="002A0788" w:rsidP="00533249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950" w:type="dxa"/>
            <w:shd w:val="clear" w:color="auto" w:fill="365F91" w:themeFill="accent1" w:themeFillShade="BF"/>
            <w:vAlign w:val="center"/>
          </w:tcPr>
          <w:p w:rsidR="002A0788" w:rsidRPr="006E6985" w:rsidRDefault="002A0788" w:rsidP="00533249">
            <w:pPr>
              <w:jc w:val="center"/>
              <w:rPr>
                <w:b/>
                <w:color w:val="FFFFFF" w:themeColor="background1"/>
              </w:rPr>
            </w:pPr>
            <w:r w:rsidRPr="006E6985">
              <w:rPr>
                <w:b/>
                <w:color w:val="FFFFFF" w:themeColor="background1"/>
              </w:rPr>
              <w:t>Wyndham</w:t>
            </w:r>
          </w:p>
        </w:tc>
        <w:tc>
          <w:tcPr>
            <w:tcW w:w="2952" w:type="dxa"/>
            <w:shd w:val="clear" w:color="auto" w:fill="365F91" w:themeFill="accent1" w:themeFillShade="BF"/>
            <w:vAlign w:val="center"/>
          </w:tcPr>
          <w:p w:rsidR="002A0788" w:rsidRPr="006E6985" w:rsidRDefault="002A0788" w:rsidP="00533249">
            <w:pPr>
              <w:jc w:val="center"/>
              <w:rPr>
                <w:b/>
                <w:color w:val="FFFFFF" w:themeColor="background1"/>
              </w:rPr>
            </w:pPr>
            <w:r w:rsidRPr="006E6985">
              <w:rPr>
                <w:b/>
                <w:color w:val="FFFFFF" w:themeColor="background1"/>
              </w:rPr>
              <w:t>Greater Melbourne</w:t>
            </w:r>
          </w:p>
        </w:tc>
      </w:tr>
      <w:tr w:rsidR="002A0788" w:rsidTr="00301759">
        <w:trPr>
          <w:trHeight w:val="564"/>
        </w:trPr>
        <w:tc>
          <w:tcPr>
            <w:tcW w:w="2822" w:type="dxa"/>
            <w:vAlign w:val="center"/>
          </w:tcPr>
          <w:p w:rsidR="002A0788" w:rsidRPr="00741C72" w:rsidRDefault="002A0788" w:rsidP="002A0788">
            <w:pPr>
              <w:jc w:val="center"/>
              <w:rPr>
                <w:b/>
              </w:rPr>
            </w:pPr>
            <w:r w:rsidRPr="00741C72">
              <w:rPr>
                <w:b/>
              </w:rPr>
              <w:t>Car, as driver</w:t>
            </w:r>
          </w:p>
        </w:tc>
        <w:tc>
          <w:tcPr>
            <w:tcW w:w="2950" w:type="dxa"/>
            <w:vAlign w:val="center"/>
          </w:tcPr>
          <w:p w:rsidR="002A0788" w:rsidRPr="004174C3" w:rsidRDefault="001F0C7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53.5</w:t>
            </w:r>
            <w:r w:rsidR="002A078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952" w:type="dxa"/>
            <w:vAlign w:val="center"/>
          </w:tcPr>
          <w:p w:rsidR="002A0788" w:rsidRPr="00F43D0F" w:rsidRDefault="006247EE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48.9</w:t>
            </w:r>
            <w:r w:rsidR="002A0788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2A0788" w:rsidTr="00301759">
        <w:trPr>
          <w:trHeight w:val="564"/>
        </w:trPr>
        <w:tc>
          <w:tcPr>
            <w:tcW w:w="2822" w:type="dxa"/>
            <w:vAlign w:val="center"/>
          </w:tcPr>
          <w:p w:rsidR="002A0788" w:rsidRPr="00741C72" w:rsidRDefault="002A0788" w:rsidP="002A0788">
            <w:pPr>
              <w:jc w:val="center"/>
              <w:rPr>
                <w:b/>
              </w:rPr>
            </w:pPr>
            <w:r w:rsidRPr="00741C72">
              <w:rPr>
                <w:b/>
              </w:rPr>
              <w:t>Car, as passenger</w:t>
            </w:r>
          </w:p>
        </w:tc>
        <w:tc>
          <w:tcPr>
            <w:tcW w:w="2950" w:type="dxa"/>
            <w:vAlign w:val="center"/>
          </w:tcPr>
          <w:p w:rsidR="002A0788" w:rsidRDefault="001F0C78" w:rsidP="002A0788">
            <w:pPr>
              <w:jc w:val="center"/>
            </w:pPr>
            <w:r>
              <w:t>16.9</w:t>
            </w:r>
            <w:r w:rsidR="002A0788">
              <w:t>%</w:t>
            </w:r>
          </w:p>
        </w:tc>
        <w:tc>
          <w:tcPr>
            <w:tcW w:w="2952" w:type="dxa"/>
            <w:vAlign w:val="center"/>
          </w:tcPr>
          <w:p w:rsidR="002A0788" w:rsidRDefault="006247EE" w:rsidP="002A0788">
            <w:pPr>
              <w:jc w:val="center"/>
            </w:pPr>
            <w:r>
              <w:t>12.2</w:t>
            </w:r>
            <w:r w:rsidR="002A0788">
              <w:t>%</w:t>
            </w:r>
          </w:p>
        </w:tc>
      </w:tr>
      <w:tr w:rsidR="002A0788" w:rsidTr="00301759">
        <w:trPr>
          <w:trHeight w:val="564"/>
        </w:trPr>
        <w:tc>
          <w:tcPr>
            <w:tcW w:w="2822" w:type="dxa"/>
            <w:vAlign w:val="center"/>
          </w:tcPr>
          <w:p w:rsidR="002A0788" w:rsidRPr="00741C72" w:rsidRDefault="002A0788" w:rsidP="002A0788">
            <w:pPr>
              <w:jc w:val="center"/>
              <w:rPr>
                <w:b/>
              </w:rPr>
            </w:pPr>
            <w:r w:rsidRPr="00741C72">
              <w:rPr>
                <w:b/>
              </w:rPr>
              <w:t>Train</w:t>
            </w:r>
          </w:p>
        </w:tc>
        <w:tc>
          <w:tcPr>
            <w:tcW w:w="2950" w:type="dxa"/>
            <w:vAlign w:val="center"/>
          </w:tcPr>
          <w:p w:rsidR="002A0788" w:rsidRDefault="001F0C78" w:rsidP="002A0788">
            <w:pPr>
              <w:jc w:val="center"/>
            </w:pPr>
            <w:r>
              <w:t>12.4</w:t>
            </w:r>
            <w:r w:rsidR="002A0788">
              <w:t>%</w:t>
            </w:r>
          </w:p>
        </w:tc>
        <w:tc>
          <w:tcPr>
            <w:tcW w:w="2952" w:type="dxa"/>
            <w:vAlign w:val="center"/>
          </w:tcPr>
          <w:p w:rsidR="002A0788" w:rsidRDefault="006247EE" w:rsidP="002A0788">
            <w:pPr>
              <w:jc w:val="center"/>
            </w:pPr>
            <w:r>
              <w:t>12.3</w:t>
            </w:r>
            <w:r w:rsidR="002A0788">
              <w:t>%</w:t>
            </w:r>
          </w:p>
        </w:tc>
      </w:tr>
      <w:tr w:rsidR="002A0788" w:rsidTr="00301759">
        <w:trPr>
          <w:trHeight w:val="564"/>
        </w:trPr>
        <w:tc>
          <w:tcPr>
            <w:tcW w:w="2822" w:type="dxa"/>
            <w:vAlign w:val="center"/>
          </w:tcPr>
          <w:p w:rsidR="002A0788" w:rsidRPr="00741C72" w:rsidRDefault="002A0788" w:rsidP="002A0788">
            <w:pPr>
              <w:jc w:val="center"/>
              <w:rPr>
                <w:b/>
              </w:rPr>
            </w:pPr>
            <w:r w:rsidRPr="00741C72">
              <w:rPr>
                <w:b/>
              </w:rPr>
              <w:t>Bus</w:t>
            </w:r>
          </w:p>
        </w:tc>
        <w:tc>
          <w:tcPr>
            <w:tcW w:w="2950" w:type="dxa"/>
            <w:vAlign w:val="center"/>
          </w:tcPr>
          <w:p w:rsidR="002A0788" w:rsidRDefault="001F0C78" w:rsidP="002A0788">
            <w:pPr>
              <w:jc w:val="center"/>
            </w:pPr>
            <w:r>
              <w:t>5.3</w:t>
            </w:r>
            <w:r w:rsidR="002A0788">
              <w:t>%</w:t>
            </w:r>
          </w:p>
        </w:tc>
        <w:tc>
          <w:tcPr>
            <w:tcW w:w="2952" w:type="dxa"/>
            <w:vAlign w:val="center"/>
          </w:tcPr>
          <w:p w:rsidR="002A0788" w:rsidRDefault="006247EE" w:rsidP="002A0788">
            <w:pPr>
              <w:jc w:val="center"/>
            </w:pPr>
            <w:r>
              <w:t>5.1</w:t>
            </w:r>
            <w:r w:rsidR="002A0788">
              <w:t>%</w:t>
            </w:r>
          </w:p>
        </w:tc>
      </w:tr>
      <w:tr w:rsidR="002A0788" w:rsidTr="00301759">
        <w:trPr>
          <w:trHeight w:val="564"/>
        </w:trPr>
        <w:tc>
          <w:tcPr>
            <w:tcW w:w="2822" w:type="dxa"/>
            <w:vAlign w:val="center"/>
          </w:tcPr>
          <w:p w:rsidR="002A0788" w:rsidRPr="00741C72" w:rsidRDefault="002A0788" w:rsidP="002A0788">
            <w:pPr>
              <w:jc w:val="center"/>
              <w:rPr>
                <w:b/>
              </w:rPr>
            </w:pPr>
            <w:r w:rsidRPr="00741C72">
              <w:rPr>
                <w:b/>
              </w:rPr>
              <w:t>Walk</w:t>
            </w:r>
          </w:p>
        </w:tc>
        <w:tc>
          <w:tcPr>
            <w:tcW w:w="2950" w:type="dxa"/>
            <w:vAlign w:val="center"/>
          </w:tcPr>
          <w:p w:rsidR="002A0788" w:rsidRDefault="002A0788" w:rsidP="006247EE">
            <w:pPr>
              <w:jc w:val="center"/>
            </w:pPr>
            <w:r>
              <w:t>2.</w:t>
            </w:r>
            <w:r w:rsidR="006247EE">
              <w:t>2</w:t>
            </w:r>
            <w:r>
              <w:t>%</w:t>
            </w:r>
          </w:p>
        </w:tc>
        <w:tc>
          <w:tcPr>
            <w:tcW w:w="2952" w:type="dxa"/>
            <w:vAlign w:val="center"/>
          </w:tcPr>
          <w:p w:rsidR="002A0788" w:rsidRDefault="002A0788" w:rsidP="006247EE">
            <w:pPr>
              <w:jc w:val="center"/>
            </w:pPr>
            <w:r>
              <w:t>4.</w:t>
            </w:r>
            <w:r w:rsidR="006247EE">
              <w:t>6</w:t>
            </w:r>
            <w:r>
              <w:t>%</w:t>
            </w:r>
          </w:p>
        </w:tc>
      </w:tr>
      <w:tr w:rsidR="002A0788" w:rsidTr="00301759">
        <w:trPr>
          <w:trHeight w:val="564"/>
        </w:trPr>
        <w:tc>
          <w:tcPr>
            <w:tcW w:w="2822" w:type="dxa"/>
            <w:tcBorders>
              <w:bottom w:val="single" w:sz="4" w:space="0" w:color="auto"/>
            </w:tcBorders>
            <w:vAlign w:val="center"/>
          </w:tcPr>
          <w:p w:rsidR="002A0788" w:rsidRPr="00741C72" w:rsidRDefault="002A0788" w:rsidP="002A0788">
            <w:pPr>
              <w:jc w:val="center"/>
              <w:rPr>
                <w:b/>
              </w:rPr>
            </w:pPr>
            <w:r w:rsidRPr="00741C72">
              <w:rPr>
                <w:b/>
              </w:rPr>
              <w:t>Bicycle</w:t>
            </w:r>
          </w:p>
        </w:tc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:rsidR="002A0788" w:rsidRDefault="002A0788" w:rsidP="006247EE">
            <w:pPr>
              <w:jc w:val="center"/>
            </w:pPr>
            <w:r>
              <w:t>0.</w:t>
            </w:r>
            <w:r w:rsidR="006247EE">
              <w:t>6</w:t>
            </w:r>
            <w:r>
              <w:t>%</w:t>
            </w:r>
          </w:p>
        </w:tc>
        <w:tc>
          <w:tcPr>
            <w:tcW w:w="2952" w:type="dxa"/>
            <w:tcBorders>
              <w:bottom w:val="single" w:sz="4" w:space="0" w:color="auto"/>
            </w:tcBorders>
            <w:vAlign w:val="center"/>
          </w:tcPr>
          <w:p w:rsidR="002A0788" w:rsidRDefault="002A0788" w:rsidP="006247EE">
            <w:pPr>
              <w:jc w:val="center"/>
            </w:pPr>
            <w:r>
              <w:t>1.</w:t>
            </w:r>
            <w:r w:rsidR="006247EE">
              <w:t>4</w:t>
            </w:r>
            <w:r>
              <w:t>%</w:t>
            </w:r>
          </w:p>
        </w:tc>
      </w:tr>
      <w:tr w:rsidR="002A0788" w:rsidTr="00301759">
        <w:trPr>
          <w:trHeight w:val="2132"/>
        </w:trPr>
        <w:tc>
          <w:tcPr>
            <w:tcW w:w="8724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301759" w:rsidRPr="006752CD" w:rsidRDefault="00301759" w:rsidP="00301759">
            <w:r w:rsidRPr="006752CD">
              <w:t>The proportion of young people walking to work is higher in Greater Melbourne compared to Wyndham</w:t>
            </w:r>
            <w:r w:rsidR="006247EE">
              <w:t xml:space="preserve"> (4.6% and 2.2% respectively)</w:t>
            </w:r>
            <w:r w:rsidRPr="006752CD">
              <w:t>. The vast majority of employed young people in Wyndham either drove to work or was the passenger in a car (</w:t>
            </w:r>
            <w:r w:rsidR="006247EE">
              <w:t>70.4</w:t>
            </w:r>
            <w:r w:rsidRPr="006752CD">
              <w:t>%).</w:t>
            </w:r>
            <w:r>
              <w:t xml:space="preserve"> Compared with all Wyndham residents who travel to work, young people are more likely to walk or take the bus</w:t>
            </w:r>
            <w:r w:rsidR="006247EE">
              <w:t xml:space="preserve"> (1.5% and 7.5% respectively)</w:t>
            </w:r>
            <w:r>
              <w:t>, and less likely to drive to work. This indicates that it is likely that young people’s place of employment is usually closer to home.</w:t>
            </w:r>
          </w:p>
          <w:p w:rsidR="002A0788" w:rsidRDefault="002A0788" w:rsidP="006E6985"/>
        </w:tc>
      </w:tr>
    </w:tbl>
    <w:p w:rsidR="00301759" w:rsidRPr="00A95B77" w:rsidRDefault="00301759" w:rsidP="00301759">
      <w:pPr>
        <w:rPr>
          <w:b/>
        </w:rPr>
      </w:pPr>
      <w:r w:rsidRPr="006752CD">
        <w:rPr>
          <w:b/>
        </w:rPr>
        <w:lastRenderedPageBreak/>
        <w:t xml:space="preserve">Table 9: </w:t>
      </w:r>
      <w:r>
        <w:rPr>
          <w:b/>
        </w:rPr>
        <w:t xml:space="preserve">Most Common </w:t>
      </w:r>
      <w:r w:rsidRPr="00A95B77">
        <w:rPr>
          <w:b/>
        </w:rPr>
        <w:t>Occupation</w:t>
      </w:r>
      <w:r>
        <w:rPr>
          <w:b/>
        </w:rPr>
        <w:t>s</w:t>
      </w:r>
      <w:r w:rsidRPr="00A95B77">
        <w:rPr>
          <w:b/>
        </w:rPr>
        <w:t xml:space="preserve"> of 15-25 year olds, Wyndham and Greater Melbourne, 201</w:t>
      </w:r>
      <w:r w:rsidR="000A568F">
        <w:rPr>
          <w:b/>
        </w:rPr>
        <w:t>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2889"/>
        <w:gridCol w:w="895"/>
        <w:gridCol w:w="710"/>
        <w:gridCol w:w="3035"/>
        <w:gridCol w:w="1135"/>
      </w:tblGrid>
      <w:tr w:rsidR="005A655C" w:rsidRPr="003F4014" w:rsidTr="005A655C">
        <w:trPr>
          <w:trHeight w:val="495"/>
        </w:trPr>
        <w:tc>
          <w:tcPr>
            <w:tcW w:w="313" w:type="pct"/>
            <w:shd w:val="clear" w:color="auto" w:fill="365F91" w:themeFill="accent1" w:themeFillShade="BF"/>
          </w:tcPr>
          <w:p w:rsidR="005A655C" w:rsidRPr="006E6985" w:rsidRDefault="005A655C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</w:p>
        </w:tc>
        <w:tc>
          <w:tcPr>
            <w:tcW w:w="2047" w:type="pct"/>
            <w:gridSpan w:val="2"/>
            <w:shd w:val="clear" w:color="auto" w:fill="365F91" w:themeFill="accent1" w:themeFillShade="BF"/>
            <w:vAlign w:val="center"/>
          </w:tcPr>
          <w:p w:rsidR="005A655C" w:rsidRPr="006E6985" w:rsidRDefault="005A655C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6E698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2640" w:type="pct"/>
            <w:gridSpan w:val="3"/>
            <w:shd w:val="clear" w:color="auto" w:fill="365F91" w:themeFill="accent1" w:themeFillShade="BF"/>
            <w:vAlign w:val="center"/>
          </w:tcPr>
          <w:p w:rsidR="005A655C" w:rsidRPr="006E6985" w:rsidRDefault="005A655C" w:rsidP="005A655C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6E698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Greater Melbourne</w:t>
            </w:r>
          </w:p>
        </w:tc>
      </w:tr>
      <w:tr w:rsidR="005A655C" w:rsidRPr="003F4014" w:rsidTr="00B279A2">
        <w:trPr>
          <w:trHeight w:val="495"/>
        </w:trPr>
        <w:tc>
          <w:tcPr>
            <w:tcW w:w="313" w:type="pct"/>
            <w:vAlign w:val="center"/>
          </w:tcPr>
          <w:p w:rsidR="005A655C" w:rsidRPr="003F4014" w:rsidRDefault="005A655C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1563" w:type="pct"/>
            <w:shd w:val="clear" w:color="auto" w:fill="auto"/>
            <w:vAlign w:val="center"/>
          </w:tcPr>
          <w:p w:rsidR="005A655C" w:rsidRPr="003F4014" w:rsidRDefault="005A655C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3F401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Sales Workers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5A655C" w:rsidRPr="003F4014" w:rsidRDefault="00B279A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25.3</w:t>
            </w:r>
            <w:r w:rsidR="005A655C" w:rsidRPr="003F4014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384" w:type="pct"/>
            <w:vAlign w:val="center"/>
          </w:tcPr>
          <w:p w:rsidR="005A655C" w:rsidRDefault="005A655C" w:rsidP="005A655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42" w:type="pct"/>
            <w:shd w:val="clear" w:color="auto" w:fill="auto"/>
            <w:vAlign w:val="center"/>
          </w:tcPr>
          <w:p w:rsidR="005A655C" w:rsidRDefault="005A655C" w:rsidP="00B279A2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Sales Workers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5A655C" w:rsidRDefault="00B279A2" w:rsidP="00B279A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24.1</w:t>
            </w:r>
            <w:r w:rsidR="005A655C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5A655C" w:rsidRPr="003F4014" w:rsidTr="00B279A2">
        <w:trPr>
          <w:trHeight w:val="495"/>
        </w:trPr>
        <w:tc>
          <w:tcPr>
            <w:tcW w:w="313" w:type="pct"/>
            <w:vAlign w:val="center"/>
          </w:tcPr>
          <w:p w:rsidR="005A655C" w:rsidRPr="003F4014" w:rsidRDefault="005A655C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1563" w:type="pct"/>
            <w:shd w:val="clear" w:color="auto" w:fill="auto"/>
            <w:vAlign w:val="center"/>
          </w:tcPr>
          <w:p w:rsidR="005A655C" w:rsidRPr="003F4014" w:rsidRDefault="00B279A2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Labourers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5A655C" w:rsidRPr="003F4014" w:rsidRDefault="00B279A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14.8</w:t>
            </w:r>
            <w:r w:rsidR="005A655C" w:rsidRPr="003F4014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384" w:type="pct"/>
            <w:vAlign w:val="center"/>
          </w:tcPr>
          <w:p w:rsidR="005A655C" w:rsidRDefault="005A655C" w:rsidP="005A655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42" w:type="pct"/>
            <w:shd w:val="clear" w:color="auto" w:fill="auto"/>
            <w:vAlign w:val="center"/>
          </w:tcPr>
          <w:p w:rsidR="005A655C" w:rsidRDefault="00B279A2" w:rsidP="00B279A2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Community and Personal Service Workers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5A655C" w:rsidRDefault="00B279A2" w:rsidP="00B279A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17.3</w:t>
            </w:r>
            <w:r w:rsidR="005A655C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5A655C" w:rsidRPr="003F4014" w:rsidTr="00B279A2">
        <w:trPr>
          <w:trHeight w:val="495"/>
        </w:trPr>
        <w:tc>
          <w:tcPr>
            <w:tcW w:w="313" w:type="pct"/>
            <w:vAlign w:val="center"/>
          </w:tcPr>
          <w:p w:rsidR="005A655C" w:rsidRPr="003F4014" w:rsidRDefault="005A655C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1563" w:type="pct"/>
            <w:shd w:val="clear" w:color="auto" w:fill="auto"/>
            <w:vAlign w:val="center"/>
          </w:tcPr>
          <w:p w:rsidR="005A655C" w:rsidRPr="003F4014" w:rsidRDefault="00B279A2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 xml:space="preserve">Technicians and Trades Workers 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5A655C" w:rsidRPr="003F4014" w:rsidRDefault="00B279A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14.6</w:t>
            </w:r>
            <w:r w:rsidR="005A655C" w:rsidRPr="003F4014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384" w:type="pct"/>
            <w:vAlign w:val="center"/>
          </w:tcPr>
          <w:p w:rsidR="005A655C" w:rsidRDefault="005A655C" w:rsidP="005A655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42" w:type="pct"/>
            <w:shd w:val="clear" w:color="auto" w:fill="auto"/>
            <w:vAlign w:val="center"/>
          </w:tcPr>
          <w:p w:rsidR="005A655C" w:rsidRDefault="00B279A2" w:rsidP="00B279A2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Technicians and Trades Workers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5A655C" w:rsidRDefault="00B279A2" w:rsidP="00B279A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13.7</w:t>
            </w:r>
            <w:r w:rsidR="005A655C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5A655C" w:rsidRPr="003F4014" w:rsidTr="00B279A2">
        <w:trPr>
          <w:trHeight w:val="495"/>
        </w:trPr>
        <w:tc>
          <w:tcPr>
            <w:tcW w:w="313" w:type="pct"/>
            <w:vAlign w:val="center"/>
          </w:tcPr>
          <w:p w:rsidR="005A655C" w:rsidRPr="003F4014" w:rsidRDefault="005A655C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1563" w:type="pct"/>
            <w:shd w:val="clear" w:color="auto" w:fill="auto"/>
            <w:vAlign w:val="center"/>
            <w:hideMark/>
          </w:tcPr>
          <w:p w:rsidR="005A655C" w:rsidRPr="003F4014" w:rsidRDefault="00B279A2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 xml:space="preserve">Community and Personal Service Workers 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5A655C" w:rsidRPr="003F4014" w:rsidRDefault="00B279A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13.8</w:t>
            </w:r>
            <w:r w:rsidR="005A655C" w:rsidRPr="003F4014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384" w:type="pct"/>
            <w:vAlign w:val="center"/>
          </w:tcPr>
          <w:p w:rsidR="005A655C" w:rsidRDefault="005A655C" w:rsidP="005A655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42" w:type="pct"/>
            <w:shd w:val="clear" w:color="auto" w:fill="auto"/>
            <w:vAlign w:val="center"/>
          </w:tcPr>
          <w:p w:rsidR="005A655C" w:rsidRDefault="005A655C" w:rsidP="00B279A2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Professionals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5A655C" w:rsidRDefault="00B279A2" w:rsidP="00B279A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</w:t>
            </w:r>
            <w:r w:rsidR="005A655C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5A655C" w:rsidRPr="003F4014" w:rsidTr="00B279A2">
        <w:trPr>
          <w:trHeight w:val="495"/>
        </w:trPr>
        <w:tc>
          <w:tcPr>
            <w:tcW w:w="313" w:type="pct"/>
            <w:tcBorders>
              <w:bottom w:val="single" w:sz="4" w:space="0" w:color="auto"/>
            </w:tcBorders>
            <w:vAlign w:val="center"/>
          </w:tcPr>
          <w:p w:rsidR="005A655C" w:rsidRPr="003F4014" w:rsidRDefault="005A655C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156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A655C" w:rsidRPr="003F4014" w:rsidRDefault="00B279A2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Clerical and Administrative Workers</w:t>
            </w:r>
          </w:p>
        </w:tc>
        <w:tc>
          <w:tcPr>
            <w:tcW w:w="48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55C" w:rsidRPr="003F4014" w:rsidRDefault="00B279A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10.5</w:t>
            </w:r>
            <w:r w:rsidR="005A655C" w:rsidRPr="003F4014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:rsidR="005A655C" w:rsidRDefault="005A655C" w:rsidP="005A655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655C" w:rsidRDefault="00B279A2" w:rsidP="00B279A2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Labourers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655C" w:rsidRDefault="00B279A2" w:rsidP="00B279A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12.5</w:t>
            </w:r>
            <w:r w:rsidR="005A655C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:rsidR="00301759" w:rsidRDefault="00301759" w:rsidP="00301759">
      <w:r>
        <w:t xml:space="preserve">The </w:t>
      </w:r>
      <w:r w:rsidRPr="00F472E6">
        <w:t>employment profile of young people in Wyndham and Greater Melbourne is relatively similar. There is a large proportion of youth working in sales, and as technicians and in trades. Interestingly, nearly 7% of young people across Greater Melbourne work in professional occupations making it the 4</w:t>
      </w:r>
      <w:r w:rsidRPr="00F472E6">
        <w:rPr>
          <w:vertAlign w:val="superscript"/>
        </w:rPr>
        <w:t>th</w:t>
      </w:r>
      <w:r w:rsidRPr="00F472E6">
        <w:t xml:space="preserve"> most common occupation type. In Wyndham, professional jobs do not make the top 5 most common occupations; only </w:t>
      </w:r>
      <w:r w:rsidR="00B279A2">
        <w:t>8</w:t>
      </w:r>
      <w:r w:rsidRPr="00F472E6">
        <w:t>% of Wyndham young people are employed in professional occupations.</w:t>
      </w:r>
    </w:p>
    <w:p w:rsidR="00301759" w:rsidRPr="0095585A" w:rsidRDefault="00301759" w:rsidP="00301759">
      <w:pPr>
        <w:rPr>
          <w:b/>
        </w:rPr>
      </w:pPr>
      <w:r>
        <w:rPr>
          <w:b/>
        </w:rPr>
        <w:t>Figure 10: Percentage of 15-25 year old who Volunteer, Wyndham and Greater Melbourne</w:t>
      </w:r>
      <w:r w:rsidRPr="0095585A">
        <w:rPr>
          <w:b/>
        </w:rPr>
        <w:t>, 201</w:t>
      </w:r>
      <w:r w:rsidR="000A568F">
        <w:rPr>
          <w:b/>
        </w:rPr>
        <w:t>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301759" w:rsidTr="0042064C">
        <w:trPr>
          <w:trHeight w:val="4079"/>
        </w:trPr>
        <w:tc>
          <w:tcPr>
            <w:tcW w:w="8953" w:type="dxa"/>
          </w:tcPr>
          <w:p w:rsidR="00301759" w:rsidRDefault="00301759" w:rsidP="0010136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cs="Arial"/>
                <w:b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CC01673" wp14:editId="502A2E84">
                  <wp:extent cx="4572000" cy="2481943"/>
                  <wp:effectExtent l="0" t="0" r="0" b="0"/>
                  <wp:docPr id="15" name="Chart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:rsidR="00301759" w:rsidRPr="006752CD" w:rsidRDefault="00301759" w:rsidP="00301759">
      <w:r w:rsidRPr="006752CD">
        <w:t xml:space="preserve">Compared with Greater Melbourne a lower proportion of young people in Wyndham </w:t>
      </w:r>
      <w:r w:rsidR="0042064C">
        <w:t>are volunteers</w:t>
      </w:r>
      <w:r w:rsidRPr="006752CD">
        <w:t>. The difference is small: 14.7% of young people across Greater Melbourne volunteer, while this is 14% for young people in Wyndham.</w:t>
      </w:r>
    </w:p>
    <w:p w:rsidR="00301759" w:rsidRDefault="00301759" w:rsidP="00B3439C">
      <w:pPr>
        <w:pStyle w:val="Heading2"/>
      </w:pPr>
    </w:p>
    <w:p w:rsidR="00301759" w:rsidRDefault="00301759" w:rsidP="00301759"/>
    <w:p w:rsidR="00301759" w:rsidRDefault="00301759" w:rsidP="00301759"/>
    <w:p w:rsidR="00301759" w:rsidRPr="00301759" w:rsidRDefault="00301759" w:rsidP="00301759"/>
    <w:p w:rsidR="00B3439C" w:rsidRDefault="00B3439C" w:rsidP="00301759">
      <w:pPr>
        <w:pStyle w:val="Heading1"/>
      </w:pPr>
      <w:bookmarkStart w:id="14" w:name="_Toc499040156"/>
      <w:r>
        <w:lastRenderedPageBreak/>
        <w:t>Social</w:t>
      </w:r>
      <w:bookmarkEnd w:id="14"/>
      <w:r>
        <w:t xml:space="preserve"> </w:t>
      </w:r>
    </w:p>
    <w:p w:rsidR="005E38A4" w:rsidRPr="009E707C" w:rsidRDefault="005E38A4" w:rsidP="005E38A4">
      <w:pPr>
        <w:rPr>
          <w:b/>
        </w:rPr>
      </w:pPr>
      <w:r>
        <w:rPr>
          <w:b/>
        </w:rPr>
        <w:t xml:space="preserve">Table 10: Number of </w:t>
      </w:r>
      <w:r w:rsidRPr="009E707C">
        <w:rPr>
          <w:b/>
        </w:rPr>
        <w:t xml:space="preserve">Young Mothers, </w:t>
      </w:r>
      <w:r>
        <w:rPr>
          <w:b/>
        </w:rPr>
        <w:t>Wyndham</w:t>
      </w:r>
      <w:r w:rsidRPr="009E707C">
        <w:rPr>
          <w:b/>
        </w:rPr>
        <w:t xml:space="preserve">, 2016 </w:t>
      </w:r>
    </w:p>
    <w:tbl>
      <w:tblPr>
        <w:tblW w:w="894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5"/>
        <w:gridCol w:w="1598"/>
        <w:gridCol w:w="1418"/>
        <w:gridCol w:w="2835"/>
      </w:tblGrid>
      <w:tr w:rsidR="006E6985" w:rsidRPr="00A0587F" w:rsidTr="00327E4D">
        <w:trPr>
          <w:trHeight w:val="310"/>
        </w:trPr>
        <w:tc>
          <w:tcPr>
            <w:tcW w:w="0" w:type="auto"/>
            <w:shd w:val="clear" w:color="auto" w:fill="365F91" w:themeFill="accent1" w:themeFillShade="BF"/>
            <w:vAlign w:val="center"/>
            <w:hideMark/>
          </w:tcPr>
          <w:p w:rsidR="006E6985" w:rsidRPr="006E6985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</w:p>
        </w:tc>
        <w:tc>
          <w:tcPr>
            <w:tcW w:w="3016" w:type="dxa"/>
            <w:gridSpan w:val="2"/>
            <w:shd w:val="clear" w:color="auto" w:fill="365F91" w:themeFill="accent1" w:themeFillShade="BF"/>
            <w:vAlign w:val="center"/>
            <w:hideMark/>
          </w:tcPr>
          <w:p w:rsidR="006E6985" w:rsidRPr="006E6985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6E698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Wyndham LGA</w:t>
            </w:r>
          </w:p>
        </w:tc>
        <w:tc>
          <w:tcPr>
            <w:tcW w:w="2835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7A7783" w:rsidRDefault="007A7783" w:rsidP="007A7783">
            <w:pPr>
              <w:spacing w:after="0" w:line="240" w:lineRule="auto"/>
              <w:rPr>
                <w:rFonts w:eastAsia="Times New Roman" w:cs="Arial"/>
                <w:bCs/>
                <w:lang w:eastAsia="en-AU"/>
              </w:rPr>
            </w:pPr>
          </w:p>
          <w:p w:rsidR="007A7783" w:rsidRPr="0042064C" w:rsidRDefault="006E6985" w:rsidP="007A7783">
            <w:pPr>
              <w:spacing w:after="0" w:line="240" w:lineRule="auto"/>
              <w:rPr>
                <w:rFonts w:eastAsia="Times New Roman" w:cs="Arial"/>
                <w:bCs/>
                <w:lang w:eastAsia="en-AU"/>
              </w:rPr>
            </w:pPr>
            <w:r w:rsidRPr="0042064C">
              <w:rPr>
                <w:rFonts w:eastAsia="Times New Roman" w:cs="Arial"/>
                <w:bCs/>
                <w:lang w:eastAsia="en-AU"/>
              </w:rPr>
              <w:t>Less than 1% of 12-17 year ol</w:t>
            </w:r>
            <w:r w:rsidR="007A7783" w:rsidRPr="0042064C">
              <w:rPr>
                <w:rFonts w:eastAsia="Times New Roman" w:cs="Arial"/>
                <w:bCs/>
                <w:lang w:eastAsia="en-AU"/>
              </w:rPr>
              <w:t>ds in Wyndham have given birth.</w:t>
            </w:r>
            <w:r w:rsidR="005E38A4" w:rsidRPr="0042064C">
              <w:rPr>
                <w:bCs/>
              </w:rPr>
              <w:t xml:space="preserve"> The 6 young mothers have all given birth to 1 child.</w:t>
            </w:r>
          </w:p>
          <w:p w:rsidR="006E6985" w:rsidRPr="006E6985" w:rsidRDefault="007A7783" w:rsidP="007A77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42064C">
              <w:rPr>
                <w:rFonts w:eastAsia="Times New Roman" w:cs="Arial"/>
                <w:bCs/>
                <w:lang w:eastAsia="en-AU"/>
              </w:rPr>
              <w:t>O</w:t>
            </w:r>
            <w:r w:rsidR="006E6985" w:rsidRPr="0042064C">
              <w:rPr>
                <w:rFonts w:eastAsia="Times New Roman" w:cs="Arial"/>
                <w:bCs/>
                <w:lang w:eastAsia="en-AU"/>
              </w:rPr>
              <w:t>ver 1,200 women aged 18-25 have</w:t>
            </w:r>
            <w:r w:rsidRPr="0042064C">
              <w:rPr>
                <w:rFonts w:eastAsia="Times New Roman" w:cs="Arial"/>
                <w:bCs/>
                <w:lang w:eastAsia="en-AU"/>
              </w:rPr>
              <w:t xml:space="preserve"> given birth to</w:t>
            </w:r>
            <w:r w:rsidR="006E6985" w:rsidRPr="0042064C">
              <w:rPr>
                <w:rFonts w:eastAsia="Times New Roman" w:cs="Arial"/>
                <w:bCs/>
                <w:lang w:eastAsia="en-AU"/>
              </w:rPr>
              <w:t xml:space="preserve"> 1 or more children.</w:t>
            </w:r>
          </w:p>
        </w:tc>
      </w:tr>
      <w:tr w:rsidR="006E6985" w:rsidRPr="00A0587F" w:rsidTr="00327E4D">
        <w:trPr>
          <w:trHeight w:val="310"/>
        </w:trPr>
        <w:tc>
          <w:tcPr>
            <w:tcW w:w="0" w:type="auto"/>
            <w:shd w:val="clear" w:color="auto" w:fill="365F91" w:themeFill="accent1" w:themeFillShade="BF"/>
            <w:noWrap/>
            <w:vAlign w:val="bottom"/>
            <w:hideMark/>
          </w:tcPr>
          <w:p w:rsidR="006E6985" w:rsidRPr="006E6985" w:rsidRDefault="006E6985" w:rsidP="006E6985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en-AU"/>
              </w:rPr>
            </w:pPr>
            <w:r w:rsidRPr="006E698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Number of Children Ever Born</w:t>
            </w:r>
          </w:p>
        </w:tc>
        <w:tc>
          <w:tcPr>
            <w:tcW w:w="1598" w:type="dxa"/>
            <w:shd w:val="clear" w:color="auto" w:fill="365F91" w:themeFill="accent1" w:themeFillShade="BF"/>
            <w:vAlign w:val="center"/>
            <w:hideMark/>
          </w:tcPr>
          <w:p w:rsidR="006E6985" w:rsidRPr="006E6985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6E698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12-17 years</w:t>
            </w:r>
          </w:p>
        </w:tc>
        <w:tc>
          <w:tcPr>
            <w:tcW w:w="1418" w:type="dxa"/>
            <w:shd w:val="clear" w:color="auto" w:fill="365F91" w:themeFill="accent1" w:themeFillShade="BF"/>
            <w:vAlign w:val="center"/>
            <w:hideMark/>
          </w:tcPr>
          <w:p w:rsidR="006E6985" w:rsidRPr="006E6985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6E698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18-25 years</w:t>
            </w:r>
          </w:p>
        </w:tc>
        <w:tc>
          <w:tcPr>
            <w:tcW w:w="2835" w:type="dxa"/>
            <w:vMerge/>
            <w:tcBorders>
              <w:bottom w:val="nil"/>
              <w:right w:val="nil"/>
            </w:tcBorders>
            <w:shd w:val="clear" w:color="auto" w:fill="auto"/>
          </w:tcPr>
          <w:p w:rsidR="006E6985" w:rsidRPr="006E6985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</w:p>
        </w:tc>
      </w:tr>
      <w:tr w:rsidR="006E6985" w:rsidRPr="00A0587F" w:rsidTr="00327E4D">
        <w:trPr>
          <w:trHeight w:val="310"/>
        </w:trPr>
        <w:tc>
          <w:tcPr>
            <w:tcW w:w="0" w:type="auto"/>
            <w:shd w:val="clear" w:color="000000" w:fill="FFFFFF"/>
            <w:vAlign w:val="center"/>
            <w:hideMark/>
          </w:tcPr>
          <w:p w:rsidR="006E6985" w:rsidRPr="00A0587F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 child</w:t>
            </w:r>
          </w:p>
        </w:tc>
        <w:tc>
          <w:tcPr>
            <w:tcW w:w="1598" w:type="dxa"/>
            <w:shd w:val="clear" w:color="000000" w:fill="FFFFFF"/>
            <w:noWrap/>
            <w:vAlign w:val="bottom"/>
            <w:hideMark/>
          </w:tcPr>
          <w:p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6</w:t>
            </w:r>
          </w:p>
        </w:tc>
        <w:tc>
          <w:tcPr>
            <w:tcW w:w="1418" w:type="dxa"/>
            <w:shd w:val="clear" w:color="000000" w:fill="FFFFFF"/>
            <w:noWrap/>
            <w:vAlign w:val="bottom"/>
            <w:hideMark/>
          </w:tcPr>
          <w:p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778</w:t>
            </w:r>
          </w:p>
        </w:tc>
        <w:tc>
          <w:tcPr>
            <w:tcW w:w="2835" w:type="dxa"/>
            <w:vMerge/>
            <w:tcBorders>
              <w:bottom w:val="nil"/>
              <w:right w:val="nil"/>
            </w:tcBorders>
            <w:shd w:val="clear" w:color="auto" w:fill="auto"/>
          </w:tcPr>
          <w:p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6E6985" w:rsidRPr="00A0587F" w:rsidTr="00327E4D">
        <w:trPr>
          <w:trHeight w:val="310"/>
        </w:trPr>
        <w:tc>
          <w:tcPr>
            <w:tcW w:w="0" w:type="auto"/>
            <w:shd w:val="clear" w:color="000000" w:fill="FFFFFF"/>
            <w:vAlign w:val="center"/>
            <w:hideMark/>
          </w:tcPr>
          <w:p w:rsidR="006E6985" w:rsidRPr="00A0587F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 children</w:t>
            </w:r>
          </w:p>
        </w:tc>
        <w:tc>
          <w:tcPr>
            <w:tcW w:w="1598" w:type="dxa"/>
            <w:shd w:val="clear" w:color="000000" w:fill="FFFFFF"/>
            <w:noWrap/>
            <w:vAlign w:val="bottom"/>
            <w:hideMark/>
          </w:tcPr>
          <w:p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418" w:type="dxa"/>
            <w:shd w:val="clear" w:color="000000" w:fill="FFFFFF"/>
            <w:noWrap/>
            <w:vAlign w:val="bottom"/>
            <w:hideMark/>
          </w:tcPr>
          <w:p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348</w:t>
            </w:r>
          </w:p>
        </w:tc>
        <w:tc>
          <w:tcPr>
            <w:tcW w:w="2835" w:type="dxa"/>
            <w:vMerge/>
            <w:tcBorders>
              <w:bottom w:val="nil"/>
              <w:right w:val="nil"/>
            </w:tcBorders>
            <w:shd w:val="clear" w:color="auto" w:fill="auto"/>
          </w:tcPr>
          <w:p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6E6985" w:rsidRPr="00A0587F" w:rsidTr="00327E4D">
        <w:trPr>
          <w:trHeight w:val="310"/>
        </w:trPr>
        <w:tc>
          <w:tcPr>
            <w:tcW w:w="0" w:type="auto"/>
            <w:shd w:val="clear" w:color="000000" w:fill="FFFFFF"/>
            <w:vAlign w:val="center"/>
            <w:hideMark/>
          </w:tcPr>
          <w:p w:rsidR="006E6985" w:rsidRPr="00A0587F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 children</w:t>
            </w:r>
          </w:p>
        </w:tc>
        <w:tc>
          <w:tcPr>
            <w:tcW w:w="1598" w:type="dxa"/>
            <w:shd w:val="clear" w:color="000000" w:fill="FFFFFF"/>
            <w:noWrap/>
            <w:vAlign w:val="bottom"/>
            <w:hideMark/>
          </w:tcPr>
          <w:p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418" w:type="dxa"/>
            <w:shd w:val="clear" w:color="000000" w:fill="FFFFFF"/>
            <w:noWrap/>
            <w:vAlign w:val="bottom"/>
            <w:hideMark/>
          </w:tcPr>
          <w:p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74</w:t>
            </w:r>
          </w:p>
        </w:tc>
        <w:tc>
          <w:tcPr>
            <w:tcW w:w="2835" w:type="dxa"/>
            <w:vMerge/>
            <w:tcBorders>
              <w:bottom w:val="nil"/>
              <w:right w:val="nil"/>
            </w:tcBorders>
            <w:shd w:val="clear" w:color="auto" w:fill="auto"/>
          </w:tcPr>
          <w:p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6E6985" w:rsidRPr="00A0587F" w:rsidTr="00327E4D">
        <w:trPr>
          <w:trHeight w:val="310"/>
        </w:trPr>
        <w:tc>
          <w:tcPr>
            <w:tcW w:w="0" w:type="auto"/>
            <w:shd w:val="clear" w:color="000000" w:fill="FFFFFF"/>
            <w:vAlign w:val="center"/>
            <w:hideMark/>
          </w:tcPr>
          <w:p w:rsidR="006E6985" w:rsidRPr="00A0587F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 children</w:t>
            </w:r>
          </w:p>
        </w:tc>
        <w:tc>
          <w:tcPr>
            <w:tcW w:w="1598" w:type="dxa"/>
            <w:shd w:val="clear" w:color="000000" w:fill="FFFFFF"/>
            <w:noWrap/>
            <w:vAlign w:val="bottom"/>
            <w:hideMark/>
          </w:tcPr>
          <w:p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418" w:type="dxa"/>
            <w:shd w:val="clear" w:color="000000" w:fill="FFFFFF"/>
            <w:noWrap/>
            <w:vAlign w:val="bottom"/>
            <w:hideMark/>
          </w:tcPr>
          <w:p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25</w:t>
            </w:r>
          </w:p>
        </w:tc>
        <w:tc>
          <w:tcPr>
            <w:tcW w:w="2835" w:type="dxa"/>
            <w:vMerge/>
            <w:tcBorders>
              <w:bottom w:val="nil"/>
              <w:right w:val="nil"/>
            </w:tcBorders>
            <w:shd w:val="clear" w:color="auto" w:fill="auto"/>
          </w:tcPr>
          <w:p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6E6985" w:rsidRPr="00A0587F" w:rsidTr="00327E4D">
        <w:trPr>
          <w:trHeight w:val="310"/>
        </w:trPr>
        <w:tc>
          <w:tcPr>
            <w:tcW w:w="0" w:type="auto"/>
            <w:shd w:val="clear" w:color="000000" w:fill="FFFFFF"/>
            <w:vAlign w:val="center"/>
            <w:hideMark/>
          </w:tcPr>
          <w:p w:rsidR="006E6985" w:rsidRPr="00A0587F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 children</w:t>
            </w:r>
          </w:p>
        </w:tc>
        <w:tc>
          <w:tcPr>
            <w:tcW w:w="1598" w:type="dxa"/>
            <w:shd w:val="clear" w:color="000000" w:fill="FFFFFF"/>
            <w:noWrap/>
            <w:vAlign w:val="bottom"/>
            <w:hideMark/>
          </w:tcPr>
          <w:p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418" w:type="dxa"/>
            <w:shd w:val="clear" w:color="000000" w:fill="FFFFFF"/>
            <w:noWrap/>
            <w:vAlign w:val="bottom"/>
            <w:hideMark/>
          </w:tcPr>
          <w:p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7</w:t>
            </w:r>
          </w:p>
        </w:tc>
        <w:tc>
          <w:tcPr>
            <w:tcW w:w="2835" w:type="dxa"/>
            <w:vMerge/>
            <w:tcBorders>
              <w:bottom w:val="nil"/>
              <w:right w:val="nil"/>
            </w:tcBorders>
            <w:shd w:val="clear" w:color="auto" w:fill="auto"/>
          </w:tcPr>
          <w:p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6E6985" w:rsidRPr="00A0587F" w:rsidTr="00327E4D">
        <w:trPr>
          <w:trHeight w:val="310"/>
        </w:trPr>
        <w:tc>
          <w:tcPr>
            <w:tcW w:w="0" w:type="auto"/>
            <w:shd w:val="clear" w:color="000000" w:fill="FFFFFF"/>
            <w:vAlign w:val="center"/>
            <w:hideMark/>
          </w:tcPr>
          <w:p w:rsidR="006E6985" w:rsidRPr="00A0587F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6 children</w:t>
            </w:r>
          </w:p>
        </w:tc>
        <w:tc>
          <w:tcPr>
            <w:tcW w:w="1598" w:type="dxa"/>
            <w:shd w:val="clear" w:color="000000" w:fill="FFFFFF"/>
            <w:noWrap/>
            <w:vAlign w:val="center"/>
            <w:hideMark/>
          </w:tcPr>
          <w:p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2835" w:type="dxa"/>
            <w:vMerge/>
            <w:tcBorders>
              <w:bottom w:val="nil"/>
              <w:right w:val="nil"/>
            </w:tcBorders>
            <w:shd w:val="clear" w:color="auto" w:fill="auto"/>
          </w:tcPr>
          <w:p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:rsidR="002A0788" w:rsidRDefault="002A0788" w:rsidP="002A0788"/>
    <w:p w:rsidR="005E38A4" w:rsidRPr="009E707C" w:rsidRDefault="005E38A4" w:rsidP="005E38A4">
      <w:pPr>
        <w:rPr>
          <w:b/>
        </w:rPr>
      </w:pPr>
      <w:r>
        <w:rPr>
          <w:b/>
        </w:rPr>
        <w:t xml:space="preserve">Table 11: </w:t>
      </w:r>
      <w:r w:rsidRPr="009E707C">
        <w:rPr>
          <w:b/>
        </w:rPr>
        <w:t xml:space="preserve">Youth </w:t>
      </w:r>
      <w:r>
        <w:rPr>
          <w:b/>
        </w:rPr>
        <w:t>D</w:t>
      </w:r>
      <w:r w:rsidRPr="009E707C">
        <w:rPr>
          <w:b/>
        </w:rPr>
        <w:t>isengagement</w:t>
      </w:r>
      <w:r>
        <w:rPr>
          <w:b/>
        </w:rPr>
        <w:t xml:space="preserve"> amongst </w:t>
      </w:r>
      <w:r w:rsidRPr="009E707C">
        <w:rPr>
          <w:b/>
        </w:rPr>
        <w:t>15-25 year</w:t>
      </w:r>
      <w:r>
        <w:rPr>
          <w:b/>
        </w:rPr>
        <w:t xml:space="preserve"> olds</w:t>
      </w:r>
      <w:r w:rsidRPr="009E707C">
        <w:rPr>
          <w:b/>
        </w:rPr>
        <w:t>,</w:t>
      </w:r>
      <w:r>
        <w:rPr>
          <w:b/>
        </w:rPr>
        <w:t xml:space="preserve"> Wyndham and Greater Melbourne,</w:t>
      </w:r>
      <w:r w:rsidRPr="009E707C">
        <w:rPr>
          <w:b/>
        </w:rPr>
        <w:t xml:space="preserve"> 201</w:t>
      </w:r>
      <w:r w:rsidR="00477531">
        <w:rPr>
          <w:b/>
        </w:rPr>
        <w:t>6</w:t>
      </w:r>
    </w:p>
    <w:tbl>
      <w:tblPr>
        <w:tblW w:w="8635" w:type="dxa"/>
        <w:tblInd w:w="93" w:type="dxa"/>
        <w:tblLook w:val="04A0" w:firstRow="1" w:lastRow="0" w:firstColumn="1" w:lastColumn="0" w:noHBand="0" w:noVBand="1"/>
      </w:tblPr>
      <w:tblGrid>
        <w:gridCol w:w="2211"/>
        <w:gridCol w:w="1843"/>
        <w:gridCol w:w="1264"/>
        <w:gridCol w:w="1764"/>
        <w:gridCol w:w="1553"/>
      </w:tblGrid>
      <w:tr w:rsidR="002A0788" w:rsidRPr="008E1292" w:rsidTr="005E38A4">
        <w:trPr>
          <w:trHeight w:val="620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noWrap/>
            <w:vAlign w:val="center"/>
            <w:hideMark/>
          </w:tcPr>
          <w:p w:rsidR="002A0788" w:rsidRPr="007A7783" w:rsidRDefault="002A0788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en-AU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noWrap/>
            <w:vAlign w:val="center"/>
            <w:hideMark/>
          </w:tcPr>
          <w:p w:rsidR="002A0788" w:rsidRPr="007A7783" w:rsidRDefault="002A0788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en-AU"/>
              </w:rPr>
            </w:pPr>
            <w:r w:rsidRPr="007A7783"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en-AU"/>
              </w:rPr>
              <w:t>Wyndham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2A0788" w:rsidRPr="007A7783" w:rsidRDefault="002A0788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en-AU"/>
              </w:rPr>
            </w:pPr>
            <w:r w:rsidRPr="007A7783"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en-AU"/>
              </w:rPr>
              <w:t>Greater Melbourne</w:t>
            </w:r>
          </w:p>
        </w:tc>
      </w:tr>
      <w:tr w:rsidR="002A0788" w:rsidRPr="008E1292" w:rsidTr="005E38A4">
        <w:trPr>
          <w:trHeight w:val="310"/>
        </w:trPr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0788" w:rsidRPr="008E1292" w:rsidRDefault="002A0788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0788" w:rsidRPr="00464EA0" w:rsidRDefault="002A0788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</w:pPr>
            <w:r w:rsidRPr="00464EA0"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  <w:t>N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0788" w:rsidRPr="00464EA0" w:rsidRDefault="002A0788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</w:pPr>
            <w:r w:rsidRPr="00464EA0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%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0788" w:rsidRPr="00464EA0" w:rsidRDefault="002A0788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</w:pPr>
            <w:r w:rsidRPr="00464EA0"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  <w:t>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0788" w:rsidRPr="00464EA0" w:rsidRDefault="002A0788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</w:pPr>
            <w:r w:rsidRPr="00464EA0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%</w:t>
            </w:r>
          </w:p>
        </w:tc>
      </w:tr>
      <w:tr w:rsidR="002A0788" w:rsidRPr="008E1292" w:rsidTr="005E38A4">
        <w:trPr>
          <w:trHeight w:val="310"/>
        </w:trPr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788" w:rsidRPr="008E1292" w:rsidRDefault="002A0788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8E1292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Disengaged Youth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788" w:rsidRPr="008E1292" w:rsidRDefault="00477531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3,432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788" w:rsidRPr="008E1292" w:rsidRDefault="00477531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11.8</w:t>
            </w:r>
            <w:r w:rsidR="002A0788" w:rsidRPr="008E1292">
              <w:rPr>
                <w:rFonts w:ascii="Calibri" w:eastAsia="Times New Roman" w:hAnsi="Calibri" w:cs="Times New Roman"/>
                <w:color w:val="000000"/>
                <w:lang w:eastAsia="en-AU"/>
              </w:rPr>
              <w:t>%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788" w:rsidRPr="00477531" w:rsidRDefault="00477531" w:rsidP="002A07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477531">
              <w:rPr>
                <w:rFonts w:cs="Arial"/>
                <w:color w:val="333333"/>
              </w:rPr>
              <w:t>53,585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788" w:rsidRPr="00477531" w:rsidRDefault="00477531" w:rsidP="002A07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477531">
              <w:rPr>
                <w:rFonts w:eastAsia="Times New Roman" w:cs="Times New Roman"/>
                <w:color w:val="000000"/>
                <w:lang w:eastAsia="en-AU"/>
              </w:rPr>
              <w:t>8.0</w:t>
            </w:r>
            <w:r w:rsidR="002A0788" w:rsidRPr="00477531">
              <w:rPr>
                <w:rFonts w:eastAsia="Times New Roman" w:cs="Times New Roman"/>
                <w:color w:val="000000"/>
                <w:lang w:eastAsia="en-AU"/>
              </w:rPr>
              <w:t>%</w:t>
            </w:r>
          </w:p>
        </w:tc>
      </w:tr>
      <w:tr w:rsidR="002A0788" w:rsidRPr="008E1292" w:rsidTr="005E38A4">
        <w:trPr>
          <w:trHeight w:val="310"/>
        </w:trPr>
        <w:tc>
          <w:tcPr>
            <w:tcW w:w="8635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A0788" w:rsidRPr="008E1292" w:rsidRDefault="002A0788" w:rsidP="004775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Youth disengagement is more prevalent in Wyndham compared to Greater Melbourne. In 201</w:t>
            </w:r>
            <w:r w:rsidR="00477531">
              <w:rPr>
                <w:rFonts w:ascii="Calibri" w:eastAsia="Times New Roman" w:hAnsi="Calibri" w:cs="Times New Roman"/>
                <w:color w:val="000000"/>
                <w:lang w:eastAsia="en-AU"/>
              </w:rPr>
              <w:t>6, nearly 12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% of 15-25 year olds were not studying or working, compared to </w:t>
            </w:r>
            <w:r w:rsidR="00477531">
              <w:rPr>
                <w:rFonts w:ascii="Calibri" w:eastAsia="Times New Roman" w:hAnsi="Calibri" w:cs="Times New Roman"/>
                <w:color w:val="000000"/>
                <w:lang w:eastAsia="en-AU"/>
              </w:rPr>
              <w:t>8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% of 15-25 year olds across Greater Melbourne. </w:t>
            </w:r>
          </w:p>
        </w:tc>
      </w:tr>
    </w:tbl>
    <w:p w:rsidR="00971AD4" w:rsidRDefault="00971AD4" w:rsidP="002A0788">
      <w:pPr>
        <w:rPr>
          <w:b/>
        </w:rPr>
      </w:pPr>
    </w:p>
    <w:p w:rsidR="005E38A4" w:rsidRPr="00464EA0" w:rsidRDefault="005E38A4" w:rsidP="005E38A4">
      <w:pPr>
        <w:rPr>
          <w:b/>
        </w:rPr>
      </w:pPr>
      <w:r>
        <w:rPr>
          <w:b/>
        </w:rPr>
        <w:t xml:space="preserve">Figure 8: Percentage of Young People with a </w:t>
      </w:r>
      <w:r w:rsidRPr="00464EA0">
        <w:rPr>
          <w:b/>
        </w:rPr>
        <w:t xml:space="preserve">Need for </w:t>
      </w:r>
      <w:r>
        <w:rPr>
          <w:b/>
        </w:rPr>
        <w:t>A</w:t>
      </w:r>
      <w:r w:rsidRPr="00464EA0">
        <w:rPr>
          <w:b/>
        </w:rPr>
        <w:t xml:space="preserve">ssistance, </w:t>
      </w:r>
      <w:r>
        <w:rPr>
          <w:b/>
        </w:rPr>
        <w:t>Wyndham and Greater Melbourne</w:t>
      </w:r>
      <w:r w:rsidRPr="00464EA0">
        <w:rPr>
          <w:b/>
        </w:rPr>
        <w:t xml:space="preserve">, 2016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6"/>
      </w:tblGrid>
      <w:tr w:rsidR="005E38A4" w:rsidTr="005E38A4">
        <w:tc>
          <w:tcPr>
            <w:tcW w:w="6606" w:type="dxa"/>
          </w:tcPr>
          <w:p w:rsidR="005E38A4" w:rsidRDefault="005E38A4" w:rsidP="002A0788">
            <w:r>
              <w:rPr>
                <w:noProof/>
                <w:lang w:eastAsia="en-AU"/>
              </w:rPr>
              <w:drawing>
                <wp:inline distT="0" distB="0" distL="0" distR="0" wp14:anchorId="6A179E22" wp14:editId="271A6947">
                  <wp:extent cx="4051005" cy="2743200"/>
                  <wp:effectExtent l="0" t="0" r="6985" b="0"/>
                  <wp:docPr id="14" name="Chart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</w:tbl>
    <w:p w:rsidR="002A0788" w:rsidRDefault="002A0788" w:rsidP="002A0788"/>
    <w:p w:rsidR="002A0788" w:rsidRDefault="005E38A4" w:rsidP="002A0788">
      <w:r>
        <w:t>A slightly larger proportion of young people in Wyndham require assistance with core activities including communication and self-care. In 2016, 3.5% of 12-17 year olds and 2% of 18-25 year olds from Wyndham required assistance.</w:t>
      </w:r>
    </w:p>
    <w:p w:rsidR="001F09B2" w:rsidRPr="00C9266C" w:rsidRDefault="001F09B2" w:rsidP="001F09B2">
      <w:pPr>
        <w:pStyle w:val="Heading1"/>
      </w:pPr>
      <w:bookmarkStart w:id="15" w:name="_Toc499032661"/>
      <w:bookmarkStart w:id="16" w:name="_Toc499040157"/>
      <w:r w:rsidRPr="00C9266C">
        <w:lastRenderedPageBreak/>
        <w:t>References</w:t>
      </w:r>
      <w:bookmarkEnd w:id="15"/>
      <w:bookmarkEnd w:id="16"/>
    </w:p>
    <w:p w:rsidR="001F09B2" w:rsidRDefault="001F09B2" w:rsidP="001F09B2">
      <w:r>
        <w:t>Australian Bureau of Statistics, Census of Population and Housing (2016). Analysed by Wyndham City Council via TableBuilder</w:t>
      </w:r>
    </w:p>
    <w:p w:rsidR="001F09B2" w:rsidRDefault="001F09B2" w:rsidP="001F09B2">
      <w:r>
        <w:t>ID Consulting. (2016). Population Forecasts - Wyndham</w:t>
      </w:r>
    </w:p>
    <w:p w:rsidR="001F09B2" w:rsidRPr="00DA44E1" w:rsidRDefault="001F09B2" w:rsidP="002A0788"/>
    <w:sectPr w:rsidR="001F09B2" w:rsidRPr="00DA44E1" w:rsidSect="00774ABF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A98" w:rsidRDefault="00931A98" w:rsidP="009E4461">
      <w:pPr>
        <w:spacing w:after="0" w:line="240" w:lineRule="auto"/>
      </w:pPr>
      <w:r>
        <w:separator/>
      </w:r>
    </w:p>
  </w:endnote>
  <w:endnote w:type="continuationSeparator" w:id="0">
    <w:p w:rsidR="00931A98" w:rsidRDefault="00931A98" w:rsidP="009E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OT-Regular">
    <w:panose1 w:val="020105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axOT-Medium">
    <w:panose1 w:val="020106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xOT-Light">
    <w:panose1 w:val="02010504050101020104"/>
    <w:charset w:val="00"/>
    <w:family w:val="modern"/>
    <w:notTrueType/>
    <w:pitch w:val="variable"/>
    <w:sig w:usb0="800000AF" w:usb1="4000247B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C78" w:rsidRPr="002D26EB" w:rsidRDefault="001F0C78" w:rsidP="002D26EB">
    <w:pPr>
      <w:pStyle w:val="Footer"/>
      <w:pBdr>
        <w:top w:val="single" w:sz="12" w:space="1" w:color="002060"/>
      </w:pBdr>
      <w:jc w:val="right"/>
      <w:rPr>
        <w:rFonts w:ascii="DaxOT-Light" w:hAnsi="DaxOT-Light"/>
        <w:color w:val="002060"/>
        <w:sz w:val="20"/>
      </w:rPr>
    </w:pPr>
    <w:r w:rsidRPr="002D26EB">
      <w:rPr>
        <w:rFonts w:ascii="DaxOT-Light" w:hAnsi="DaxOT-Light"/>
        <w:color w:val="002060"/>
        <w:sz w:val="20"/>
      </w:rPr>
      <w:t>Wyndham City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C78" w:rsidRPr="002D26EB" w:rsidRDefault="001F0C78" w:rsidP="002D26EB">
    <w:pPr>
      <w:pStyle w:val="Footer"/>
      <w:pBdr>
        <w:top w:val="single" w:sz="12" w:space="1" w:color="002060"/>
      </w:pBdr>
      <w:tabs>
        <w:tab w:val="clear" w:pos="4513"/>
        <w:tab w:val="clear" w:pos="9026"/>
        <w:tab w:val="left" w:pos="2210"/>
      </w:tabs>
      <w:rPr>
        <w:rFonts w:ascii="DaxOT-Light" w:hAnsi="DaxOT-Light"/>
        <w:color w:val="002060"/>
        <w:sz w:val="20"/>
      </w:rPr>
    </w:pPr>
    <w:r w:rsidRPr="002D26EB">
      <w:rPr>
        <w:rFonts w:ascii="DaxOT-Light" w:hAnsi="DaxOT-Light"/>
        <w:color w:val="002060"/>
        <w:sz w:val="20"/>
      </w:rPr>
      <w:t>Wyndham City</w:t>
    </w:r>
    <w:r>
      <w:rPr>
        <w:rFonts w:ascii="DaxOT-Light" w:hAnsi="DaxOT-Light"/>
        <w:color w:val="002060"/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A98" w:rsidRDefault="00931A98" w:rsidP="009E4461">
      <w:pPr>
        <w:spacing w:after="0" w:line="240" w:lineRule="auto"/>
      </w:pPr>
      <w:r>
        <w:separator/>
      </w:r>
    </w:p>
  </w:footnote>
  <w:footnote w:type="continuationSeparator" w:id="0">
    <w:p w:rsidR="00931A98" w:rsidRDefault="00931A98" w:rsidP="009E4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C78" w:rsidRDefault="001F0C7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038851EB" wp14:editId="1FBB5F1E">
          <wp:simplePos x="0" y="0"/>
          <wp:positionH relativeFrom="column">
            <wp:posOffset>659130</wp:posOffset>
          </wp:positionH>
          <wp:positionV relativeFrom="paragraph">
            <wp:posOffset>-1096453</wp:posOffset>
          </wp:positionV>
          <wp:extent cx="6475730" cy="1986280"/>
          <wp:effectExtent l="0" t="0" r="127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aAndSandGraphic_PURP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730" cy="198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788"/>
    <w:rsid w:val="00003C5A"/>
    <w:rsid w:val="00017B5E"/>
    <w:rsid w:val="00045FCE"/>
    <w:rsid w:val="00046E85"/>
    <w:rsid w:val="000A3466"/>
    <w:rsid w:val="000A568F"/>
    <w:rsid w:val="000A7002"/>
    <w:rsid w:val="000B49DC"/>
    <w:rsid w:val="00101365"/>
    <w:rsid w:val="00114A0B"/>
    <w:rsid w:val="00121365"/>
    <w:rsid w:val="001538F7"/>
    <w:rsid w:val="00160C04"/>
    <w:rsid w:val="001646FA"/>
    <w:rsid w:val="00186E30"/>
    <w:rsid w:val="001F09B2"/>
    <w:rsid w:val="001F0C78"/>
    <w:rsid w:val="00230531"/>
    <w:rsid w:val="00271EFB"/>
    <w:rsid w:val="002744EB"/>
    <w:rsid w:val="0027695F"/>
    <w:rsid w:val="00294DE0"/>
    <w:rsid w:val="002A0788"/>
    <w:rsid w:val="002A790D"/>
    <w:rsid w:val="002B2B48"/>
    <w:rsid w:val="002D1CF2"/>
    <w:rsid w:val="002D26EB"/>
    <w:rsid w:val="00301759"/>
    <w:rsid w:val="0031205C"/>
    <w:rsid w:val="00327E4D"/>
    <w:rsid w:val="00383C13"/>
    <w:rsid w:val="003B3B9C"/>
    <w:rsid w:val="003B3F49"/>
    <w:rsid w:val="003B6581"/>
    <w:rsid w:val="0042064C"/>
    <w:rsid w:val="00420C62"/>
    <w:rsid w:val="00455A0F"/>
    <w:rsid w:val="004574E4"/>
    <w:rsid w:val="00477531"/>
    <w:rsid w:val="00495952"/>
    <w:rsid w:val="004A1DA1"/>
    <w:rsid w:val="004A32F9"/>
    <w:rsid w:val="004B1AAB"/>
    <w:rsid w:val="004B4505"/>
    <w:rsid w:val="005049FB"/>
    <w:rsid w:val="00533249"/>
    <w:rsid w:val="00576888"/>
    <w:rsid w:val="0057782D"/>
    <w:rsid w:val="005A655C"/>
    <w:rsid w:val="005C3A4A"/>
    <w:rsid w:val="005E38A4"/>
    <w:rsid w:val="00611B7A"/>
    <w:rsid w:val="006135B4"/>
    <w:rsid w:val="006247EE"/>
    <w:rsid w:val="0062594C"/>
    <w:rsid w:val="006472B0"/>
    <w:rsid w:val="00655749"/>
    <w:rsid w:val="006C7741"/>
    <w:rsid w:val="006E6985"/>
    <w:rsid w:val="00710048"/>
    <w:rsid w:val="00774ABF"/>
    <w:rsid w:val="00790A0B"/>
    <w:rsid w:val="007A7783"/>
    <w:rsid w:val="00831340"/>
    <w:rsid w:val="008425F5"/>
    <w:rsid w:val="00871213"/>
    <w:rsid w:val="008745A0"/>
    <w:rsid w:val="008A3631"/>
    <w:rsid w:val="008D0CB4"/>
    <w:rsid w:val="008E6784"/>
    <w:rsid w:val="008F3E72"/>
    <w:rsid w:val="009220A8"/>
    <w:rsid w:val="00931A98"/>
    <w:rsid w:val="00933C2C"/>
    <w:rsid w:val="00951BB4"/>
    <w:rsid w:val="00971AD4"/>
    <w:rsid w:val="0098491C"/>
    <w:rsid w:val="00993A34"/>
    <w:rsid w:val="009E4461"/>
    <w:rsid w:val="00A06286"/>
    <w:rsid w:val="00A13A1A"/>
    <w:rsid w:val="00A17D76"/>
    <w:rsid w:val="00A60490"/>
    <w:rsid w:val="00A655EA"/>
    <w:rsid w:val="00A83801"/>
    <w:rsid w:val="00AF41A5"/>
    <w:rsid w:val="00B279A2"/>
    <w:rsid w:val="00B30674"/>
    <w:rsid w:val="00B3439C"/>
    <w:rsid w:val="00BD5F84"/>
    <w:rsid w:val="00C22E6A"/>
    <w:rsid w:val="00C75419"/>
    <w:rsid w:val="00CA11B8"/>
    <w:rsid w:val="00CF6E96"/>
    <w:rsid w:val="00D14FD1"/>
    <w:rsid w:val="00D64943"/>
    <w:rsid w:val="00DA008C"/>
    <w:rsid w:val="00DF492E"/>
    <w:rsid w:val="00E02DB9"/>
    <w:rsid w:val="00E468A4"/>
    <w:rsid w:val="00EA74AD"/>
    <w:rsid w:val="00F95EF9"/>
    <w:rsid w:val="00FB62F2"/>
    <w:rsid w:val="00FE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07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07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07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461"/>
  </w:style>
  <w:style w:type="paragraph" w:styleId="Footer">
    <w:name w:val="footer"/>
    <w:basedOn w:val="Normal"/>
    <w:link w:val="FooterChar"/>
    <w:uiPriority w:val="99"/>
    <w:unhideWhenUsed/>
    <w:rsid w:val="009E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461"/>
  </w:style>
  <w:style w:type="paragraph" w:styleId="NoSpacing">
    <w:name w:val="No Spacing"/>
    <w:link w:val="NoSpacingChar"/>
    <w:uiPriority w:val="1"/>
    <w:qFormat/>
    <w:rsid w:val="009E446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4461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6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A07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0788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2A0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0788"/>
    <w:pPr>
      <w:outlineLvl w:val="9"/>
    </w:pPr>
    <w:rPr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A078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A078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A0788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2A07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B3439C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07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07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07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461"/>
  </w:style>
  <w:style w:type="paragraph" w:styleId="Footer">
    <w:name w:val="footer"/>
    <w:basedOn w:val="Normal"/>
    <w:link w:val="FooterChar"/>
    <w:uiPriority w:val="99"/>
    <w:unhideWhenUsed/>
    <w:rsid w:val="009E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461"/>
  </w:style>
  <w:style w:type="paragraph" w:styleId="NoSpacing">
    <w:name w:val="No Spacing"/>
    <w:link w:val="NoSpacingChar"/>
    <w:uiPriority w:val="1"/>
    <w:qFormat/>
    <w:rsid w:val="009E446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4461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6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A07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0788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2A0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0788"/>
    <w:pPr>
      <w:outlineLvl w:val="9"/>
    </w:pPr>
    <w:rPr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A078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A078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A0788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2A07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B3439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chart" Target="charts/chart5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1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10" Type="http://schemas.openxmlformats.org/officeDocument/2006/relationships/header" Target="header1.xml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chart" Target="charts/chart9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ivicfile2\templates2016$\CEO's%20Office\Cover%20and%20Follower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vicfile2\redirected$\sgreen\Desktop\Youth%20data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Youth%20-%20Sept%202017%20(A1831412)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vicfile2\redirected$\sgreen\Desktop\Youth%20data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vicfile2\redirected$\sgreen\Desktop\Youth%20data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vicfile2\redirected$\sgreen\Desktop\Youth%20data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vicfile2\redirected$\sgreen\Desktop\Youth%20data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vicfile2\redirected$\sgreen\Desktop\Youth%20dat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vicfile2\redirected$\sgreen\Desktop\Youth%20data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vicfile2\redirected$\sgreen\Desktop\Youth%20data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Youth%20-%20Sept%202017%20(A183141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423840769903762"/>
          <c:y val="5.1400554097404488E-2"/>
          <c:w val="0.82663626421697278"/>
          <c:h val="0.7168788276465442"/>
        </c:manualLayout>
      </c:layout>
      <c:lineChart>
        <c:grouping val="standard"/>
        <c:varyColors val="0"/>
        <c:ser>
          <c:idx val="1"/>
          <c:order val="0"/>
          <c:tx>
            <c:strRef>
              <c:f>'Population &amp; Forecast'!$O$2</c:f>
              <c:strCache>
                <c:ptCount val="1"/>
                <c:pt idx="0">
                  <c:v>12-17 years</c:v>
                </c:pt>
              </c:strCache>
            </c:strRef>
          </c:tx>
          <c:spPr>
            <a:ln>
              <a:solidFill>
                <a:schemeClr val="accent1">
                  <a:lumMod val="60000"/>
                  <a:lumOff val="40000"/>
                </a:schemeClr>
              </a:solidFill>
            </a:ln>
          </c:spPr>
          <c:marker>
            <c:spPr>
              <a:solidFill>
                <a:schemeClr val="accent1">
                  <a:lumMod val="60000"/>
                  <a:lumOff val="40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'Population &amp; Forecast'!$N$3:$N$7</c:f>
              <c:numCache>
                <c:formatCode>General</c:formatCode>
                <c:ptCount val="5"/>
                <c:pt idx="0">
                  <c:v>2016</c:v>
                </c:pt>
                <c:pt idx="1">
                  <c:v>2021</c:v>
                </c:pt>
                <c:pt idx="2">
                  <c:v>2026</c:v>
                </c:pt>
                <c:pt idx="3">
                  <c:v>2031</c:v>
                </c:pt>
                <c:pt idx="4">
                  <c:v>2036</c:v>
                </c:pt>
              </c:numCache>
            </c:numRef>
          </c:cat>
          <c:val>
            <c:numRef>
              <c:f>'Population &amp; Forecast'!$O$3:$O$7</c:f>
              <c:numCache>
                <c:formatCode>General</c:formatCode>
                <c:ptCount val="5"/>
                <c:pt idx="0">
                  <c:v>15996</c:v>
                </c:pt>
                <c:pt idx="1">
                  <c:v>20846</c:v>
                </c:pt>
                <c:pt idx="2">
                  <c:v>26199</c:v>
                </c:pt>
                <c:pt idx="3">
                  <c:v>30610</c:v>
                </c:pt>
                <c:pt idx="4">
                  <c:v>34314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'Population &amp; Forecast'!$P$2</c:f>
              <c:strCache>
                <c:ptCount val="1"/>
                <c:pt idx="0">
                  <c:v>18-25 years</c:v>
                </c:pt>
              </c:strCache>
            </c:strRef>
          </c:tx>
          <c:spPr>
            <a:ln>
              <a:solidFill>
                <a:schemeClr val="accent1">
                  <a:lumMod val="75000"/>
                </a:schemeClr>
              </a:solidFill>
            </a:ln>
          </c:spPr>
          <c:marker>
            <c:spPr>
              <a:solidFill>
                <a:schemeClr val="accent1">
                  <a:lumMod val="75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'Population &amp; Forecast'!$N$3:$N$7</c:f>
              <c:numCache>
                <c:formatCode>General</c:formatCode>
                <c:ptCount val="5"/>
                <c:pt idx="0">
                  <c:v>2016</c:v>
                </c:pt>
                <c:pt idx="1">
                  <c:v>2021</c:v>
                </c:pt>
                <c:pt idx="2">
                  <c:v>2026</c:v>
                </c:pt>
                <c:pt idx="3">
                  <c:v>2031</c:v>
                </c:pt>
                <c:pt idx="4">
                  <c:v>2036</c:v>
                </c:pt>
              </c:numCache>
            </c:numRef>
          </c:cat>
          <c:val>
            <c:numRef>
              <c:f>'Population &amp; Forecast'!$P$3:$P$7</c:f>
              <c:numCache>
                <c:formatCode>General</c:formatCode>
                <c:ptCount val="5"/>
                <c:pt idx="0">
                  <c:v>23657</c:v>
                </c:pt>
                <c:pt idx="1">
                  <c:v>28504</c:v>
                </c:pt>
                <c:pt idx="2">
                  <c:v>33723</c:v>
                </c:pt>
                <c:pt idx="3">
                  <c:v>39689</c:v>
                </c:pt>
                <c:pt idx="4">
                  <c:v>45322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238656"/>
        <c:axId val="49479680"/>
      </c:lineChart>
      <c:catAx>
        <c:axId val="209238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9479680"/>
        <c:crosses val="autoZero"/>
        <c:auto val="1"/>
        <c:lblAlgn val="ctr"/>
        <c:lblOffset val="100"/>
        <c:noMultiLvlLbl val="0"/>
      </c:catAx>
      <c:valAx>
        <c:axId val="49479680"/>
        <c:scaling>
          <c:orientation val="minMax"/>
          <c:min val="14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92386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880968941382327"/>
          <c:y val="0.88387540099154271"/>
          <c:w val="0.43134755030621175"/>
          <c:h val="0.1118788276465441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Employment!$F$52</c:f>
              <c:strCache>
                <c:ptCount val="1"/>
                <c:pt idx="0">
                  <c:v>Wyndham 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.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Employment!$E$53:$E$55</c:f>
              <c:strCache>
                <c:ptCount val="3"/>
                <c:pt idx="0">
                  <c:v>Employed </c:v>
                </c:pt>
                <c:pt idx="1">
                  <c:v>Unemployed looking for work </c:v>
                </c:pt>
                <c:pt idx="2">
                  <c:v>Not in the labour force</c:v>
                </c:pt>
              </c:strCache>
            </c:strRef>
          </c:cat>
          <c:val>
            <c:numRef>
              <c:f>Employment!$F$53:$F$55</c:f>
              <c:numCache>
                <c:formatCode>0.00%</c:formatCode>
                <c:ptCount val="3"/>
                <c:pt idx="0">
                  <c:v>0.48899999999999999</c:v>
                </c:pt>
                <c:pt idx="1">
                  <c:v>0.107</c:v>
                </c:pt>
                <c:pt idx="2" formatCode="0.0#%">
                  <c:v>0.35399999999999998</c:v>
                </c:pt>
              </c:numCache>
            </c:numRef>
          </c:val>
        </c:ser>
        <c:ser>
          <c:idx val="1"/>
          <c:order val="1"/>
          <c:tx>
            <c:strRef>
              <c:f>Employment!$G$52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2"/>
              <c:layout>
                <c:manualLayout>
                  <c:x val="1.9444444444444445E-2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.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Employment!$E$53:$E$55</c:f>
              <c:strCache>
                <c:ptCount val="3"/>
                <c:pt idx="0">
                  <c:v>Employed </c:v>
                </c:pt>
                <c:pt idx="1">
                  <c:v>Unemployed looking for work </c:v>
                </c:pt>
                <c:pt idx="2">
                  <c:v>Not in the labour force</c:v>
                </c:pt>
              </c:strCache>
            </c:strRef>
          </c:cat>
          <c:val>
            <c:numRef>
              <c:f>Employment!$G$53:$G$55</c:f>
              <c:numCache>
                <c:formatCode>0.00%</c:formatCode>
                <c:ptCount val="3"/>
                <c:pt idx="0">
                  <c:v>0.505</c:v>
                </c:pt>
                <c:pt idx="1">
                  <c:v>8.7999999999999995E-2</c:v>
                </c:pt>
                <c:pt idx="2" formatCode="0.0#%">
                  <c:v>0.35399999999999998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6818688"/>
        <c:axId val="226898304"/>
      </c:barChart>
      <c:catAx>
        <c:axId val="226818688"/>
        <c:scaling>
          <c:orientation val="minMax"/>
        </c:scaling>
        <c:delete val="0"/>
        <c:axPos val="b"/>
        <c:majorTickMark val="out"/>
        <c:minorTickMark val="none"/>
        <c:tickLblPos val="nextTo"/>
        <c:crossAx val="226898304"/>
        <c:crosses val="autoZero"/>
        <c:auto val="1"/>
        <c:lblAlgn val="ctr"/>
        <c:lblOffset val="100"/>
        <c:noMultiLvlLbl val="0"/>
      </c:catAx>
      <c:valAx>
        <c:axId val="22689830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226818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Employment!$E$33</c:f>
              <c:strCache>
                <c:ptCount val="1"/>
                <c:pt idx="0">
                  <c:v>Volunteer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Employment!$F$30:$G$30</c:f>
              <c:strCache>
                <c:ptCount val="2"/>
                <c:pt idx="0">
                  <c:v>Wyndham </c:v>
                </c:pt>
                <c:pt idx="1">
                  <c:v>Greater Melbourne</c:v>
                </c:pt>
              </c:strCache>
            </c:strRef>
          </c:cat>
          <c:val>
            <c:numRef>
              <c:f>Employment!$F$33:$G$33</c:f>
              <c:numCache>
                <c:formatCode>0.0#%</c:formatCode>
                <c:ptCount val="2"/>
                <c:pt idx="0">
                  <c:v>0.139534884</c:v>
                </c:pt>
                <c:pt idx="1">
                  <c:v>0.14648814700000001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6927360"/>
        <c:axId val="226928896"/>
      </c:barChart>
      <c:catAx>
        <c:axId val="226927360"/>
        <c:scaling>
          <c:orientation val="minMax"/>
        </c:scaling>
        <c:delete val="0"/>
        <c:axPos val="l"/>
        <c:majorTickMark val="out"/>
        <c:minorTickMark val="none"/>
        <c:tickLblPos val="nextTo"/>
        <c:crossAx val="226928896"/>
        <c:crosses val="autoZero"/>
        <c:auto val="1"/>
        <c:lblAlgn val="ctr"/>
        <c:lblOffset val="100"/>
        <c:noMultiLvlLbl val="0"/>
      </c:catAx>
      <c:valAx>
        <c:axId val="226928896"/>
        <c:scaling>
          <c:orientation val="minMax"/>
        </c:scaling>
        <c:delete val="0"/>
        <c:axPos val="b"/>
        <c:majorGridlines/>
        <c:numFmt formatCode="0.0#%" sourceLinked="1"/>
        <c:majorTickMark val="out"/>
        <c:minorTickMark val="none"/>
        <c:tickLblPos val="nextTo"/>
        <c:crossAx val="2269273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AU" sz="1000"/>
              <a:t>Has need for assistance with core activities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Social!$E$5</c:f>
              <c:strCache>
                <c:ptCount val="1"/>
                <c:pt idx="0">
                  <c:v>Has need for assistance with core activities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</c:dPt>
          <c:dPt>
            <c:idx val="3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</c:dPt>
          <c:dLbls>
            <c:numFmt formatCode=".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Social!$F$3:$I$4</c:f>
              <c:multiLvlStrCache>
                <c:ptCount val="4"/>
                <c:lvl>
                  <c:pt idx="0">
                    <c:v>12-17 years</c:v>
                  </c:pt>
                  <c:pt idx="1">
                    <c:v>18-25 years</c:v>
                  </c:pt>
                  <c:pt idx="2">
                    <c:v>12-17 years</c:v>
                  </c:pt>
                  <c:pt idx="3">
                    <c:v>18-25 years</c:v>
                  </c:pt>
                </c:lvl>
                <c:lvl>
                  <c:pt idx="0">
                    <c:v>Wyndham LGA</c:v>
                  </c:pt>
                  <c:pt idx="2">
                    <c:v>Greater Melbourne</c:v>
                  </c:pt>
                </c:lvl>
              </c:multiLvlStrCache>
            </c:multiLvlStrRef>
          </c:cat>
          <c:val>
            <c:numRef>
              <c:f>Social!$F$5:$I$5</c:f>
              <c:numCache>
                <c:formatCode>0.0#%</c:formatCode>
                <c:ptCount val="4"/>
                <c:pt idx="0">
                  <c:v>3.4758340999999998E-2</c:v>
                </c:pt>
                <c:pt idx="1">
                  <c:v>2.0300294999999999E-2</c:v>
                </c:pt>
                <c:pt idx="2" formatCode="0.00%">
                  <c:v>2.76E-2</c:v>
                </c:pt>
                <c:pt idx="3" formatCode="0.00%">
                  <c:v>1.5599999999999999E-2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6947456"/>
        <c:axId val="226948992"/>
      </c:barChart>
      <c:catAx>
        <c:axId val="226947456"/>
        <c:scaling>
          <c:orientation val="minMax"/>
        </c:scaling>
        <c:delete val="0"/>
        <c:axPos val="b"/>
        <c:majorTickMark val="out"/>
        <c:minorTickMark val="none"/>
        <c:tickLblPos val="nextTo"/>
        <c:crossAx val="226948992"/>
        <c:crosses val="autoZero"/>
        <c:auto val="1"/>
        <c:lblAlgn val="ctr"/>
        <c:lblOffset val="100"/>
        <c:noMultiLvlLbl val="0"/>
      </c:catAx>
      <c:valAx>
        <c:axId val="226948992"/>
        <c:scaling>
          <c:orientation val="minMax"/>
        </c:scaling>
        <c:delete val="0"/>
        <c:axPos val="l"/>
        <c:majorGridlines/>
        <c:numFmt formatCode="0.0#%" sourceLinked="1"/>
        <c:majorTickMark val="out"/>
        <c:minorTickMark val="none"/>
        <c:tickLblPos val="nextTo"/>
        <c:crossAx val="2269474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AU" sz="1000"/>
              <a:t>Overseas</a:t>
            </a:r>
            <a:r>
              <a:rPr lang="en-AU" sz="1000" baseline="0"/>
              <a:t> born</a:t>
            </a:r>
            <a:r>
              <a:rPr lang="en-AU" sz="1000"/>
              <a:t>,</a:t>
            </a:r>
            <a:r>
              <a:rPr lang="en-AU" sz="1000" baseline="0"/>
              <a:t> 12-17 years</a:t>
            </a:r>
            <a:endParaRPr lang="en-AU" sz="10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3452726597760889"/>
          <c:y val="0.17602405333136176"/>
          <c:w val="0.77823110074203683"/>
          <c:h val="0.541674845210689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'Cultural div analysis'!$B$3:$C$3</c:f>
              <c:strCache>
                <c:ptCount val="1"/>
                <c:pt idx="0">
                  <c:v>Wyndham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'Cultural div analysis'!$A$5:$A$7</c:f>
              <c:strCache>
                <c:ptCount val="3"/>
                <c:pt idx="0">
                  <c:v>Australia</c:v>
                </c:pt>
                <c:pt idx="1">
                  <c:v>Born Overseas</c:v>
                </c:pt>
                <c:pt idx="2">
                  <c:v>Not stated</c:v>
                </c:pt>
              </c:strCache>
            </c:strRef>
          </c:cat>
          <c:val>
            <c:numRef>
              <c:f>'Cultural div analysis'!$B$5:$B$7</c:f>
              <c:numCache>
                <c:formatCode>0.00%</c:formatCode>
                <c:ptCount val="3"/>
                <c:pt idx="0" formatCode="0.0#%">
                  <c:v>0.64448813900000002</c:v>
                </c:pt>
                <c:pt idx="1">
                  <c:v>0.30580000000000002</c:v>
                </c:pt>
                <c:pt idx="2" formatCode="0.0#%">
                  <c:v>4.6429023999999999E-2</c:v>
                </c:pt>
              </c:numCache>
            </c:numRef>
          </c:val>
        </c:ser>
        <c:ser>
          <c:idx val="1"/>
          <c:order val="1"/>
          <c:tx>
            <c:strRef>
              <c:f>'Cultural div analysis'!$D$3:$E$3</c:f>
              <c:strCache>
                <c:ptCount val="1"/>
                <c:pt idx="0">
                  <c:v>Greater Melbourne 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numFmt formatCode="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'Cultural div analysis'!$A$5:$A$7</c:f>
              <c:strCache>
                <c:ptCount val="3"/>
                <c:pt idx="0">
                  <c:v>Australia</c:v>
                </c:pt>
                <c:pt idx="1">
                  <c:v>Born Overseas</c:v>
                </c:pt>
                <c:pt idx="2">
                  <c:v>Not stated</c:v>
                </c:pt>
              </c:strCache>
            </c:strRef>
          </c:cat>
          <c:val>
            <c:numRef>
              <c:f>'Cultural div analysis'!$D$5:$D$7</c:f>
              <c:numCache>
                <c:formatCode>0.00%</c:formatCode>
                <c:ptCount val="3"/>
                <c:pt idx="0" formatCode="0.0%">
                  <c:v>0.77981745399999991</c:v>
                </c:pt>
                <c:pt idx="1">
                  <c:v>0.17599999999999999</c:v>
                </c:pt>
                <c:pt idx="2" formatCode="0.0%">
                  <c:v>4.4040474999999996E-2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506176"/>
        <c:axId val="49507712"/>
      </c:barChart>
      <c:catAx>
        <c:axId val="49506176"/>
        <c:scaling>
          <c:orientation val="minMax"/>
        </c:scaling>
        <c:delete val="0"/>
        <c:axPos val="b"/>
        <c:majorTickMark val="none"/>
        <c:minorTickMark val="none"/>
        <c:tickLblPos val="nextTo"/>
        <c:crossAx val="49507712"/>
        <c:crosses val="autoZero"/>
        <c:auto val="1"/>
        <c:lblAlgn val="ctr"/>
        <c:lblOffset val="100"/>
        <c:noMultiLvlLbl val="0"/>
      </c:catAx>
      <c:valAx>
        <c:axId val="49507712"/>
        <c:scaling>
          <c:orientation val="minMax"/>
          <c:max val="0.8"/>
        </c:scaling>
        <c:delete val="0"/>
        <c:axPos val="l"/>
        <c:majorGridlines/>
        <c:numFmt formatCode="0.0#%" sourceLinked="1"/>
        <c:majorTickMark val="none"/>
        <c:minorTickMark val="none"/>
        <c:tickLblPos val="nextTo"/>
        <c:crossAx val="49506176"/>
        <c:crosses val="autoZero"/>
        <c:crossBetween val="between"/>
        <c:majorUnit val="0.2"/>
        <c:minorUnit val="4.0000000000000008E-2"/>
      </c:valAx>
    </c:plotArea>
    <c:legend>
      <c:legendPos val="r"/>
      <c:layout>
        <c:manualLayout>
          <c:xMode val="edge"/>
          <c:yMode val="edge"/>
          <c:x val="0.12977382456822525"/>
          <c:y val="0.89128337831010562"/>
          <c:w val="0.77331259518486117"/>
          <c:h val="0.10724919801691456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AU" sz="1000"/>
              <a:t>Overseas born, 18-25 years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3860592425946758"/>
          <c:y val="0.19480351414406533"/>
          <c:w val="0.79478665166854146"/>
          <c:h val="0.533432229644470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'Cultural div analysis'!$B$3</c:f>
              <c:strCache>
                <c:ptCount val="1"/>
                <c:pt idx="0">
                  <c:v>Wyndham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'Cultural div analysis'!$A$5:$A$7</c:f>
              <c:strCache>
                <c:ptCount val="3"/>
                <c:pt idx="0">
                  <c:v>Australia</c:v>
                </c:pt>
                <c:pt idx="1">
                  <c:v>Born Overseas</c:v>
                </c:pt>
                <c:pt idx="2">
                  <c:v>Not stated</c:v>
                </c:pt>
              </c:strCache>
            </c:strRef>
          </c:cat>
          <c:val>
            <c:numRef>
              <c:f>'Cultural div analysis'!$C$5:$C$7</c:f>
              <c:numCache>
                <c:formatCode>0.00%</c:formatCode>
                <c:ptCount val="3"/>
                <c:pt idx="0" formatCode="0.0#%">
                  <c:v>0.58828757200000004</c:v>
                </c:pt>
                <c:pt idx="1">
                  <c:v>0.35299999999999998</c:v>
                </c:pt>
                <c:pt idx="2" formatCode="0.0#%">
                  <c:v>5.5474998999999997E-2</c:v>
                </c:pt>
              </c:numCache>
            </c:numRef>
          </c:val>
        </c:ser>
        <c:ser>
          <c:idx val="1"/>
          <c:order val="1"/>
          <c:tx>
            <c:strRef>
              <c:f>'Cultural div analysis'!$D$3</c:f>
              <c:strCache>
                <c:ptCount val="1"/>
                <c:pt idx="0">
                  <c:v>Greater Melbourne 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numFmt formatCode="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'Cultural div analysis'!$A$5:$A$7</c:f>
              <c:strCache>
                <c:ptCount val="3"/>
                <c:pt idx="0">
                  <c:v>Australia</c:v>
                </c:pt>
                <c:pt idx="1">
                  <c:v>Born Overseas</c:v>
                </c:pt>
                <c:pt idx="2">
                  <c:v>Not stated</c:v>
                </c:pt>
              </c:strCache>
            </c:strRef>
          </c:cat>
          <c:val>
            <c:numRef>
              <c:f>'Cultural div analysis'!$E$5:$E$7</c:f>
              <c:numCache>
                <c:formatCode>0.00%</c:formatCode>
                <c:ptCount val="3"/>
                <c:pt idx="0" formatCode="0.0%">
                  <c:v>0.62661358200000006</c:v>
                </c:pt>
                <c:pt idx="1">
                  <c:v>0.315</c:v>
                </c:pt>
                <c:pt idx="2" formatCode="0.0%">
                  <c:v>5.8227298000000004E-2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6432128"/>
        <c:axId val="226433664"/>
      </c:barChart>
      <c:catAx>
        <c:axId val="226432128"/>
        <c:scaling>
          <c:orientation val="minMax"/>
        </c:scaling>
        <c:delete val="0"/>
        <c:axPos val="b"/>
        <c:majorTickMark val="none"/>
        <c:minorTickMark val="none"/>
        <c:tickLblPos val="nextTo"/>
        <c:crossAx val="226433664"/>
        <c:crosses val="autoZero"/>
        <c:auto val="1"/>
        <c:lblAlgn val="ctr"/>
        <c:lblOffset val="100"/>
        <c:noMultiLvlLbl val="0"/>
      </c:catAx>
      <c:valAx>
        <c:axId val="226433664"/>
        <c:scaling>
          <c:orientation val="minMax"/>
          <c:max val="0.8"/>
        </c:scaling>
        <c:delete val="0"/>
        <c:axPos val="l"/>
        <c:majorGridlines/>
        <c:numFmt formatCode="0.0#%" sourceLinked="1"/>
        <c:majorTickMark val="none"/>
        <c:minorTickMark val="none"/>
        <c:tickLblPos val="nextTo"/>
        <c:crossAx val="226432128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17681646707344861"/>
          <c:y val="0.89455171293081792"/>
          <c:w val="0.71739153184630056"/>
          <c:h val="0.1026195683872849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AU" sz="1000"/>
              <a:t>Language spoken, 12-17 years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2860567351681658"/>
          <c:y val="0.39557508436445443"/>
          <c:w val="0.3840683227290087"/>
          <c:h val="0.55381280464941884"/>
        </c:manualLayout>
      </c:layout>
      <c:pieChart>
        <c:varyColors val="1"/>
        <c:ser>
          <c:idx val="0"/>
          <c:order val="0"/>
          <c:spPr>
            <a:solidFill>
              <a:schemeClr val="accent4">
                <a:lumMod val="75000"/>
              </a:schemeClr>
            </a:solidFill>
          </c:spPr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-0.11459303511993983"/>
                  <c:y val="-4.828880764904387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6.3415169618542988E-2"/>
                  <c:y val="-7.875843644544432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'Cultural div analysis'!$A$23:$A$25</c:f>
              <c:strCache>
                <c:ptCount val="3"/>
                <c:pt idx="0">
                  <c:v>English</c:v>
                </c:pt>
                <c:pt idx="1">
                  <c:v>Not stated</c:v>
                </c:pt>
                <c:pt idx="2">
                  <c:v>Language other than English</c:v>
                </c:pt>
              </c:strCache>
            </c:strRef>
          </c:cat>
          <c:val>
            <c:numRef>
              <c:f>'Cultural div analysis'!$B$23:$B$25</c:f>
              <c:numCache>
                <c:formatCode>0.0#%</c:formatCode>
                <c:ptCount val="3"/>
                <c:pt idx="0">
                  <c:v>0.63414943499999998</c:v>
                </c:pt>
                <c:pt idx="1">
                  <c:v>4.4526196000000004E-2</c:v>
                </c:pt>
                <c:pt idx="2" formatCode="0.00%">
                  <c:v>0.32129999999999997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0"/>
          <c:y val="0.16193475815523059"/>
          <c:w val="0.88754198519986105"/>
          <c:h val="0.2187425009373828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AU" sz="1000"/>
              <a:t>Language spoken, 18-25 years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317562407502801"/>
          <c:y val="0.37942580965925515"/>
          <c:w val="0.39463880099099763"/>
          <c:h val="0.55805751153352523"/>
        </c:manualLayout>
      </c:layout>
      <c:pieChart>
        <c:varyColors val="1"/>
        <c:ser>
          <c:idx val="0"/>
          <c:order val="0"/>
          <c:spPr>
            <a:solidFill>
              <a:schemeClr val="accent4">
                <a:lumMod val="75000"/>
              </a:schemeClr>
            </a:solidFill>
          </c:spPr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6.612734155894065E-2"/>
                  <c:y val="-9.180477990911928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'Cultural div analysis'!$A$23:$A$25</c:f>
              <c:strCache>
                <c:ptCount val="3"/>
                <c:pt idx="0">
                  <c:v>English</c:v>
                </c:pt>
                <c:pt idx="1">
                  <c:v>Not stated</c:v>
                </c:pt>
                <c:pt idx="2">
                  <c:v>Language other than English</c:v>
                </c:pt>
              </c:strCache>
            </c:strRef>
          </c:cat>
          <c:val>
            <c:numRef>
              <c:f>'Cultural div analysis'!$C$23:$C$25</c:f>
              <c:numCache>
                <c:formatCode>0.0#%</c:formatCode>
                <c:ptCount val="3"/>
                <c:pt idx="0">
                  <c:v>0.59081341499999995</c:v>
                </c:pt>
                <c:pt idx="1">
                  <c:v>6.3005752999999998E-2</c:v>
                </c:pt>
                <c:pt idx="2" formatCode="0.00%">
                  <c:v>0.34620000000000001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8.0404575596274772E-2"/>
          <c:y val="0.1597946512192584"/>
          <c:w val="0.89328340369724013"/>
          <c:h val="0.20410420063130874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'Cultural Diversity'!$Y$15</c:f>
              <c:strCache>
                <c:ptCount val="1"/>
                <c:pt idx="0">
                  <c:v>Speak english only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'Cultural Diversity'!$Z$13:$AC$14</c:f>
              <c:multiLvlStrCache>
                <c:ptCount val="4"/>
                <c:lvl>
                  <c:pt idx="0">
                    <c:v>12-17 years</c:v>
                  </c:pt>
                  <c:pt idx="1">
                    <c:v>18-25 years</c:v>
                  </c:pt>
                  <c:pt idx="2">
                    <c:v>12-17 years</c:v>
                  </c:pt>
                  <c:pt idx="3">
                    <c:v>18-25 years</c:v>
                  </c:pt>
                </c:lvl>
                <c:lvl>
                  <c:pt idx="0">
                    <c:v>Wyndham LGA</c:v>
                  </c:pt>
                  <c:pt idx="2">
                    <c:v>Greater Melbourne</c:v>
                  </c:pt>
                </c:lvl>
              </c:multiLvlStrCache>
            </c:multiLvlStrRef>
          </c:cat>
          <c:val>
            <c:numRef>
              <c:f>'Cultural Diversity'!$Z$15:$AC$15</c:f>
              <c:numCache>
                <c:formatCode>0.0#%</c:formatCode>
                <c:ptCount val="4"/>
                <c:pt idx="0">
                  <c:v>0.63414943499999998</c:v>
                </c:pt>
                <c:pt idx="1">
                  <c:v>0.59081341499999995</c:v>
                </c:pt>
                <c:pt idx="2" formatCode="0.00%">
                  <c:v>0.69233133300000005</c:v>
                </c:pt>
                <c:pt idx="3" formatCode="0.00%">
                  <c:v>0.59251075100000006</c:v>
                </c:pt>
              </c:numCache>
            </c:numRef>
          </c:val>
        </c:ser>
        <c:ser>
          <c:idx val="1"/>
          <c:order val="1"/>
          <c:tx>
            <c:strRef>
              <c:f>'Cultural Diversity'!$Y$16</c:f>
              <c:strCache>
                <c:ptCount val="1"/>
                <c:pt idx="0">
                  <c:v>Speaks English and another language very well or well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numFmt formatCode="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'Cultural Diversity'!$Z$13:$AC$14</c:f>
              <c:multiLvlStrCache>
                <c:ptCount val="4"/>
                <c:lvl>
                  <c:pt idx="0">
                    <c:v>12-17 years</c:v>
                  </c:pt>
                  <c:pt idx="1">
                    <c:v>18-25 years</c:v>
                  </c:pt>
                  <c:pt idx="2">
                    <c:v>12-17 years</c:v>
                  </c:pt>
                  <c:pt idx="3">
                    <c:v>18-25 years</c:v>
                  </c:pt>
                </c:lvl>
                <c:lvl>
                  <c:pt idx="0">
                    <c:v>Wyndham LGA</c:v>
                  </c:pt>
                  <c:pt idx="2">
                    <c:v>Greater Melbourne</c:v>
                  </c:pt>
                </c:lvl>
              </c:multiLvlStrCache>
            </c:multiLvlStrRef>
          </c:cat>
          <c:val>
            <c:numRef>
              <c:f>'Cultural Diversity'!$Z$16:$AC$16</c:f>
              <c:numCache>
                <c:formatCode>0.00%</c:formatCode>
                <c:ptCount val="4"/>
                <c:pt idx="0">
                  <c:v>0.309</c:v>
                </c:pt>
                <c:pt idx="1">
                  <c:v>0.32590000000000002</c:v>
                </c:pt>
                <c:pt idx="2">
                  <c:v>0.25459999999999999</c:v>
                </c:pt>
                <c:pt idx="3">
                  <c:v>0.32340000000000002</c:v>
                </c:pt>
              </c:numCache>
            </c:numRef>
          </c:val>
        </c:ser>
        <c:ser>
          <c:idx val="2"/>
          <c:order val="2"/>
          <c:tx>
            <c:strRef>
              <c:f>'Cultural Diversity'!$Y$17</c:f>
              <c:strCache>
                <c:ptCount val="1"/>
                <c:pt idx="0">
                  <c:v>Speaks English and another language not very well or not at all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numFmt formatCode="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'Cultural Diversity'!$Z$13:$AC$14</c:f>
              <c:multiLvlStrCache>
                <c:ptCount val="4"/>
                <c:lvl>
                  <c:pt idx="0">
                    <c:v>12-17 years</c:v>
                  </c:pt>
                  <c:pt idx="1">
                    <c:v>18-25 years</c:v>
                  </c:pt>
                  <c:pt idx="2">
                    <c:v>12-17 years</c:v>
                  </c:pt>
                  <c:pt idx="3">
                    <c:v>18-25 years</c:v>
                  </c:pt>
                </c:lvl>
                <c:lvl>
                  <c:pt idx="0">
                    <c:v>Wyndham LGA</c:v>
                  </c:pt>
                  <c:pt idx="2">
                    <c:v>Greater Melbourne</c:v>
                  </c:pt>
                </c:lvl>
              </c:multiLvlStrCache>
            </c:multiLvlStrRef>
          </c:cat>
          <c:val>
            <c:numRef>
              <c:f>'Cultural Diversity'!$Z$17:$AC$17</c:f>
              <c:numCache>
                <c:formatCode>0.00%</c:formatCode>
                <c:ptCount val="4"/>
                <c:pt idx="0">
                  <c:v>1.3100000000000001E-2</c:v>
                </c:pt>
                <c:pt idx="1">
                  <c:v>1.9699999999999999E-2</c:v>
                </c:pt>
                <c:pt idx="2">
                  <c:v>1.14E-2</c:v>
                </c:pt>
                <c:pt idx="3">
                  <c:v>2.8199999999999999E-2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6720768"/>
        <c:axId val="226829056"/>
      </c:barChart>
      <c:catAx>
        <c:axId val="226720768"/>
        <c:scaling>
          <c:orientation val="minMax"/>
        </c:scaling>
        <c:delete val="0"/>
        <c:axPos val="b"/>
        <c:majorTickMark val="out"/>
        <c:minorTickMark val="none"/>
        <c:tickLblPos val="nextTo"/>
        <c:crossAx val="226829056"/>
        <c:crosses val="autoZero"/>
        <c:auto val="1"/>
        <c:lblAlgn val="ctr"/>
        <c:lblOffset val="100"/>
        <c:noMultiLvlLbl val="0"/>
      </c:catAx>
      <c:valAx>
        <c:axId val="226829056"/>
        <c:scaling>
          <c:orientation val="minMax"/>
        </c:scaling>
        <c:delete val="0"/>
        <c:axPos val="l"/>
        <c:majorGridlines/>
        <c:numFmt formatCode="0.0#%" sourceLinked="1"/>
        <c:majorTickMark val="out"/>
        <c:minorTickMark val="none"/>
        <c:tickLblPos val="nextTo"/>
        <c:crossAx val="2267207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'Cultural Diversity'!$S$2:$T$2</c:f>
              <c:strCache>
                <c:ptCount val="1"/>
                <c:pt idx="0">
                  <c:v>Wyndham LGA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'Cultural Diversity'!$R$4:$R$10</c:f>
              <c:strCache>
                <c:ptCount val="7"/>
                <c:pt idx="0">
                  <c:v>Buddhism</c:v>
                </c:pt>
                <c:pt idx="1">
                  <c:v>Christianity</c:v>
                </c:pt>
                <c:pt idx="2">
                  <c:v>Hinduism</c:v>
                </c:pt>
                <c:pt idx="3">
                  <c:v>Islam</c:v>
                </c:pt>
                <c:pt idx="4">
                  <c:v>Judaism</c:v>
                </c:pt>
                <c:pt idx="5">
                  <c:v>Other Religions</c:v>
                </c:pt>
                <c:pt idx="6">
                  <c:v>No religion</c:v>
                </c:pt>
              </c:strCache>
            </c:strRef>
          </c:cat>
          <c:val>
            <c:numRef>
              <c:f>'Cultural Diversity'!$S$4:$S$10</c:f>
              <c:numCache>
                <c:formatCode>0.0#%</c:formatCode>
                <c:ptCount val="7"/>
                <c:pt idx="0">
                  <c:v>2.4039071000000002E-2</c:v>
                </c:pt>
                <c:pt idx="1">
                  <c:v>0.521692249</c:v>
                </c:pt>
                <c:pt idx="2">
                  <c:v>4.0276544000000004E-2</c:v>
                </c:pt>
                <c:pt idx="3">
                  <c:v>9.1589495999999992E-2</c:v>
                </c:pt>
                <c:pt idx="4">
                  <c:v>5.0742099999999998E-4</c:v>
                </c:pt>
                <c:pt idx="5">
                  <c:v>1.2495243E-2</c:v>
                </c:pt>
                <c:pt idx="6">
                  <c:v>0.237092477</c:v>
                </c:pt>
              </c:numCache>
            </c:numRef>
          </c:val>
        </c:ser>
        <c:ser>
          <c:idx val="1"/>
          <c:order val="1"/>
          <c:tx>
            <c:strRef>
              <c:f>'Cultural Diversity'!$U$2:$V$2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numFmt formatCode="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'Cultural Diversity'!$R$4:$R$10</c:f>
              <c:strCache>
                <c:ptCount val="7"/>
                <c:pt idx="0">
                  <c:v>Buddhism</c:v>
                </c:pt>
                <c:pt idx="1">
                  <c:v>Christianity</c:v>
                </c:pt>
                <c:pt idx="2">
                  <c:v>Hinduism</c:v>
                </c:pt>
                <c:pt idx="3">
                  <c:v>Islam</c:v>
                </c:pt>
                <c:pt idx="4">
                  <c:v>Judaism</c:v>
                </c:pt>
                <c:pt idx="5">
                  <c:v>Other Religions</c:v>
                </c:pt>
                <c:pt idx="6">
                  <c:v>No religion</c:v>
                </c:pt>
              </c:strCache>
            </c:strRef>
          </c:cat>
          <c:val>
            <c:numRef>
              <c:f>'Cultural Diversity'!$U$4:$U$10</c:f>
              <c:numCache>
                <c:formatCode>0.0#%</c:formatCode>
                <c:ptCount val="7"/>
                <c:pt idx="0">
                  <c:v>3.5349363000000002E-2</c:v>
                </c:pt>
                <c:pt idx="1">
                  <c:v>0.48555556999999999</c:v>
                </c:pt>
                <c:pt idx="2">
                  <c:v>1.7755644000000001E-2</c:v>
                </c:pt>
                <c:pt idx="3">
                  <c:v>5.3798973999999999E-2</c:v>
                </c:pt>
                <c:pt idx="4">
                  <c:v>9.461085000000001E-3</c:v>
                </c:pt>
                <c:pt idx="5">
                  <c:v>6.8603610000000006E-3</c:v>
                </c:pt>
                <c:pt idx="6">
                  <c:v>0.313345979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26850304"/>
        <c:axId val="226851840"/>
      </c:barChart>
      <c:catAx>
        <c:axId val="226850304"/>
        <c:scaling>
          <c:orientation val="minMax"/>
        </c:scaling>
        <c:delete val="0"/>
        <c:axPos val="b"/>
        <c:majorTickMark val="none"/>
        <c:minorTickMark val="none"/>
        <c:tickLblPos val="nextTo"/>
        <c:crossAx val="226851840"/>
        <c:crosses val="autoZero"/>
        <c:auto val="1"/>
        <c:lblAlgn val="ctr"/>
        <c:lblOffset val="100"/>
        <c:noMultiLvlLbl val="0"/>
      </c:catAx>
      <c:valAx>
        <c:axId val="226851840"/>
        <c:scaling>
          <c:orientation val="minMax"/>
        </c:scaling>
        <c:delete val="0"/>
        <c:axPos val="l"/>
        <c:majorGridlines/>
        <c:numFmt formatCode="0.0#%" sourceLinked="1"/>
        <c:majorTickMark val="none"/>
        <c:minorTickMark val="none"/>
        <c:tickLblPos val="nextTo"/>
        <c:spPr>
          <a:ln w="9525">
            <a:noFill/>
          </a:ln>
        </c:spPr>
        <c:crossAx val="2268503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'Cultural Diversity'!$S$2:$T$2</c:f>
              <c:strCache>
                <c:ptCount val="1"/>
                <c:pt idx="0">
                  <c:v>Wyndham LGA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'Cultural Diversity'!$R$4:$R$10</c:f>
              <c:strCache>
                <c:ptCount val="7"/>
                <c:pt idx="0">
                  <c:v>Buddhism</c:v>
                </c:pt>
                <c:pt idx="1">
                  <c:v>Christianity</c:v>
                </c:pt>
                <c:pt idx="2">
                  <c:v>Hinduism</c:v>
                </c:pt>
                <c:pt idx="3">
                  <c:v>Islam</c:v>
                </c:pt>
                <c:pt idx="4">
                  <c:v>Judaism</c:v>
                </c:pt>
                <c:pt idx="5">
                  <c:v>Other Religions</c:v>
                </c:pt>
                <c:pt idx="6">
                  <c:v>No religion</c:v>
                </c:pt>
              </c:strCache>
            </c:strRef>
          </c:cat>
          <c:val>
            <c:numRef>
              <c:f>'Cultural Diversity'!$T$4:$T$10</c:f>
              <c:numCache>
                <c:formatCode>0.0#%</c:formatCode>
                <c:ptCount val="7"/>
                <c:pt idx="0">
                  <c:v>2.0768043E-2</c:v>
                </c:pt>
                <c:pt idx="1">
                  <c:v>0.44702745700000002</c:v>
                </c:pt>
                <c:pt idx="2">
                  <c:v>4.7102297000000001E-2</c:v>
                </c:pt>
                <c:pt idx="3">
                  <c:v>6.9460686000000008E-2</c:v>
                </c:pt>
                <c:pt idx="4">
                  <c:v>1.8709900000000001E-4</c:v>
                </c:pt>
                <c:pt idx="5">
                  <c:v>4.2237710000000005E-2</c:v>
                </c:pt>
                <c:pt idx="6">
                  <c:v>0.27952663799999999</c:v>
                </c:pt>
              </c:numCache>
            </c:numRef>
          </c:val>
        </c:ser>
        <c:ser>
          <c:idx val="1"/>
          <c:order val="1"/>
          <c:tx>
            <c:strRef>
              <c:f>'Cultural Diversity'!$U$2:$V$2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numFmt formatCode="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'Cultural Diversity'!$R$4:$R$10</c:f>
              <c:strCache>
                <c:ptCount val="7"/>
                <c:pt idx="0">
                  <c:v>Buddhism</c:v>
                </c:pt>
                <c:pt idx="1">
                  <c:v>Christianity</c:v>
                </c:pt>
                <c:pt idx="2">
                  <c:v>Hinduism</c:v>
                </c:pt>
                <c:pt idx="3">
                  <c:v>Islam</c:v>
                </c:pt>
                <c:pt idx="4">
                  <c:v>Judaism</c:v>
                </c:pt>
                <c:pt idx="5">
                  <c:v>Other Religions</c:v>
                </c:pt>
                <c:pt idx="6">
                  <c:v>No religion</c:v>
                </c:pt>
              </c:strCache>
            </c:strRef>
          </c:cat>
          <c:val>
            <c:numRef>
              <c:f>'Cultural Diversity'!$V$4:$V$10</c:f>
              <c:numCache>
                <c:formatCode>0.0#%</c:formatCode>
                <c:ptCount val="7"/>
                <c:pt idx="0">
                  <c:v>4.3078171000000005E-2</c:v>
                </c:pt>
                <c:pt idx="1">
                  <c:v>0.35705172299999999</c:v>
                </c:pt>
                <c:pt idx="2">
                  <c:v>2.7431374000000001E-2</c:v>
                </c:pt>
                <c:pt idx="3">
                  <c:v>5.1805636000000002E-2</c:v>
                </c:pt>
                <c:pt idx="4">
                  <c:v>5.9297580000000003E-3</c:v>
                </c:pt>
                <c:pt idx="5">
                  <c:v>1.7099453000000001E-2</c:v>
                </c:pt>
                <c:pt idx="6">
                  <c:v>0.40339644800000002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26754944"/>
        <c:axId val="226756480"/>
      </c:barChart>
      <c:catAx>
        <c:axId val="226754944"/>
        <c:scaling>
          <c:orientation val="minMax"/>
        </c:scaling>
        <c:delete val="0"/>
        <c:axPos val="b"/>
        <c:majorTickMark val="none"/>
        <c:minorTickMark val="none"/>
        <c:tickLblPos val="nextTo"/>
        <c:crossAx val="226756480"/>
        <c:crosses val="autoZero"/>
        <c:auto val="1"/>
        <c:lblAlgn val="ctr"/>
        <c:lblOffset val="100"/>
        <c:noMultiLvlLbl val="0"/>
      </c:catAx>
      <c:valAx>
        <c:axId val="226756480"/>
        <c:scaling>
          <c:orientation val="minMax"/>
          <c:max val="0.5"/>
        </c:scaling>
        <c:delete val="0"/>
        <c:axPos val="l"/>
        <c:majorGridlines/>
        <c:numFmt formatCode="0.0#%" sourceLinked="1"/>
        <c:majorTickMark val="none"/>
        <c:minorTickMark val="none"/>
        <c:tickLblPos val="nextTo"/>
        <c:spPr>
          <a:ln w="9525">
            <a:noFill/>
          </a:ln>
        </c:spPr>
        <c:crossAx val="226754944"/>
        <c:crosses val="autoZero"/>
        <c:crossBetween val="between"/>
        <c:majorUnit val="0.1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8892715969966007"/>
          <c:y val="5.1691729323308268E-2"/>
          <c:w val="0.52844691114399056"/>
          <c:h val="0.7084038837250605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Education!$J$2</c:f>
              <c:strCache>
                <c:ptCount val="1"/>
                <c:pt idx="0">
                  <c:v>Wyndham 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.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Education!$I$4:$I$9</c:f>
              <c:strCache>
                <c:ptCount val="6"/>
                <c:pt idx="0">
                  <c:v>Postgraduate Degree Level</c:v>
                </c:pt>
                <c:pt idx="1">
                  <c:v>Graduate Diploma and Graduate Certificate Level</c:v>
                </c:pt>
                <c:pt idx="2">
                  <c:v>Bachelor Degree Level</c:v>
                </c:pt>
                <c:pt idx="3">
                  <c:v>Advanced Diploma and Diploma Level</c:v>
                </c:pt>
                <c:pt idx="4">
                  <c:v>Certificate Level</c:v>
                </c:pt>
                <c:pt idx="5">
                  <c:v>Level of education inadequately described</c:v>
                </c:pt>
              </c:strCache>
            </c:strRef>
          </c:cat>
          <c:val>
            <c:numRef>
              <c:f>Education!$J$4:$J$8</c:f>
              <c:numCache>
                <c:formatCode>0.0#%</c:formatCode>
                <c:ptCount val="5"/>
                <c:pt idx="0">
                  <c:v>1.5763131999999999E-2</c:v>
                </c:pt>
                <c:pt idx="1">
                  <c:v>5.1452360000000001E-3</c:v>
                </c:pt>
                <c:pt idx="2">
                  <c:v>0.11020160000000001</c:v>
                </c:pt>
                <c:pt idx="3">
                  <c:v>7.3483325000000002E-2</c:v>
                </c:pt>
                <c:pt idx="4">
                  <c:v>0.17563964599999998</c:v>
                </c:pt>
              </c:numCache>
            </c:numRef>
          </c:val>
        </c:ser>
        <c:ser>
          <c:idx val="1"/>
          <c:order val="1"/>
          <c:tx>
            <c:strRef>
              <c:f>Education!$K$2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numFmt formatCode=".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Education!$I$4:$I$9</c:f>
              <c:strCache>
                <c:ptCount val="6"/>
                <c:pt idx="0">
                  <c:v>Postgraduate Degree Level</c:v>
                </c:pt>
                <c:pt idx="1">
                  <c:v>Graduate Diploma and Graduate Certificate Level</c:v>
                </c:pt>
                <c:pt idx="2">
                  <c:v>Bachelor Degree Level</c:v>
                </c:pt>
                <c:pt idx="3">
                  <c:v>Advanced Diploma and Diploma Level</c:v>
                </c:pt>
                <c:pt idx="4">
                  <c:v>Certificate Level</c:v>
                </c:pt>
                <c:pt idx="5">
                  <c:v>Level of education inadequately described</c:v>
                </c:pt>
              </c:strCache>
            </c:strRef>
          </c:cat>
          <c:val>
            <c:numRef>
              <c:f>Education!$K$4:$K$8</c:f>
              <c:numCache>
                <c:formatCode>0.0######%</c:formatCode>
                <c:ptCount val="5"/>
                <c:pt idx="0">
                  <c:v>2.0158486E-2</c:v>
                </c:pt>
                <c:pt idx="1">
                  <c:v>6.1065360000000001E-3</c:v>
                </c:pt>
                <c:pt idx="2">
                  <c:v>0.16250341099999999</c:v>
                </c:pt>
                <c:pt idx="3">
                  <c:v>6.8476594000000002E-2</c:v>
                </c:pt>
                <c:pt idx="4">
                  <c:v>0.13280850699999999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6795520"/>
        <c:axId val="226797056"/>
      </c:barChart>
      <c:catAx>
        <c:axId val="226795520"/>
        <c:scaling>
          <c:orientation val="minMax"/>
        </c:scaling>
        <c:delete val="0"/>
        <c:axPos val="l"/>
        <c:majorTickMark val="out"/>
        <c:minorTickMark val="none"/>
        <c:tickLblPos val="nextTo"/>
        <c:crossAx val="226797056"/>
        <c:crosses val="autoZero"/>
        <c:auto val="1"/>
        <c:lblAlgn val="ctr"/>
        <c:lblOffset val="100"/>
        <c:noMultiLvlLbl val="0"/>
      </c:catAx>
      <c:valAx>
        <c:axId val="226797056"/>
        <c:scaling>
          <c:orientation val="minMax"/>
        </c:scaling>
        <c:delete val="0"/>
        <c:axPos val="b"/>
        <c:majorGridlines/>
        <c:numFmt formatCode="0.0#%" sourceLinked="1"/>
        <c:majorTickMark val="out"/>
        <c:minorTickMark val="none"/>
        <c:tickLblPos val="nextTo"/>
        <c:crossAx val="2267955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370103425383415"/>
          <c:y val="0.82877715943401808"/>
          <c:w val="0.35965630181198432"/>
          <c:h val="0.16992415111176223"/>
        </c:manualLayout>
      </c:layout>
      <c:overlay val="0"/>
      <c:spPr>
        <a:noFill/>
      </c:sp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E4FA0-30BF-4026-BC90-7A578099B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 and Follower.dotx</Template>
  <TotalTime>1</TotalTime>
  <Pages>16</Pages>
  <Words>2269</Words>
  <Characters>12935</Characters>
  <Application>Microsoft Office Word</Application>
  <DocSecurity>4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15174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Green</dc:creator>
  <cp:lastModifiedBy>Stephanie Green</cp:lastModifiedBy>
  <cp:revision>2</cp:revision>
  <dcterms:created xsi:type="dcterms:W3CDTF">2017-11-28T21:56:00Z</dcterms:created>
  <dcterms:modified xsi:type="dcterms:W3CDTF">2017-11-28T21:56:00Z</dcterms:modified>
</cp:coreProperties>
</file>