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Default="00430DB0" w:rsidP="00F4181E">
      <w:pPr>
        <w:pStyle w:val="Header02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-6985</wp:posOffset>
                </wp:positionH>
                <wp:positionV relativeFrom="page">
                  <wp:posOffset>1553210</wp:posOffset>
                </wp:positionV>
                <wp:extent cx="6186805" cy="828675"/>
                <wp:effectExtent l="0" t="0" r="4445" b="9525"/>
                <wp:wrapThrough wrapText="bothSides">
                  <wp:wrapPolygon edited="0">
                    <wp:start x="0" y="0"/>
                    <wp:lineTo x="0" y="21352"/>
                    <wp:lineTo x="21549" y="21352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113507" w:rsidP="00066BC8">
                            <w:pPr>
                              <w:pStyle w:val="Header01"/>
                              <w:rPr>
                                <w:sz w:val="44"/>
                                <w:szCs w:val="44"/>
                              </w:rPr>
                            </w:pPr>
                            <w:r w:rsidRPr="007C1BCE">
                              <w:rPr>
                                <w:sz w:val="44"/>
                                <w:szCs w:val="44"/>
                              </w:rPr>
                              <w:t>Wyndham’s Filipino Community</w:t>
                            </w:r>
                            <w:r w:rsidR="00FC0DE6" w:rsidRPr="007C1BC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C1BCE" w:rsidRPr="007C1BCE" w:rsidRDefault="004D1B21" w:rsidP="007C1BCE">
                            <w:pPr>
                              <w:pStyle w:val="IntroPara01"/>
                            </w:pPr>
                            <w:r>
                              <w:t>November</w:t>
                            </w:r>
                            <w:r w:rsidR="007C1BCE">
                              <w:t xml:space="preserve"> 2017 update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122.3pt;width:487.1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Yn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" filled="f" stroked="f">
                <v:textbox inset="0,0,0,0">
                  <w:txbxContent>
                    <w:p w:rsidR="00FC0DE6" w:rsidRDefault="00113507" w:rsidP="00066BC8">
                      <w:pPr>
                        <w:pStyle w:val="Header01"/>
                        <w:rPr>
                          <w:sz w:val="44"/>
                          <w:szCs w:val="44"/>
                        </w:rPr>
                      </w:pPr>
                      <w:r w:rsidRPr="007C1BCE">
                        <w:rPr>
                          <w:sz w:val="44"/>
                          <w:szCs w:val="44"/>
                        </w:rPr>
                        <w:t>Wyndham’s Filipino Community</w:t>
                      </w:r>
                      <w:r w:rsidR="00FC0DE6" w:rsidRPr="007C1BCE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7C1BCE" w:rsidRPr="007C1BCE" w:rsidRDefault="004D1B21" w:rsidP="007C1BCE">
                      <w:pPr>
                        <w:pStyle w:val="IntroPara01"/>
                      </w:pPr>
                      <w:r>
                        <w:t>November</w:t>
                      </w:r>
                      <w:r w:rsidR="007C1BCE">
                        <w:t xml:space="preserve"> 2017 update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F4181E" w:rsidRDefault="00F4181E" w:rsidP="00C723DB">
      <w:pPr>
        <w:pStyle w:val="Body01"/>
      </w:pPr>
    </w:p>
    <w:p w:rsidR="00113507" w:rsidRDefault="00113507" w:rsidP="00C723DB">
      <w:pPr>
        <w:pStyle w:val="Body01"/>
        <w:sectPr w:rsidR="00113507" w:rsidSect="00113507">
          <w:footerReference w:type="default" r:id="rId9"/>
          <w:headerReference w:type="first" r:id="rId10"/>
          <w:type w:val="continuous"/>
          <w:pgSz w:w="11900" w:h="16840"/>
          <w:pgMar w:top="1627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lastRenderedPageBreak/>
        <w:t xml:space="preserve">Wyndham’s Filipino community has been growing steadily since 1970. However, the majority of this population (53%) arrived in the 10 years between 2001 and 2011. At the 2011 Census, people born in the Philippines made up 2.4% of Wyndham’s total population. In 2016, this figure had increased to 2.6%, equating to a total of 5,727 people. </w:t>
      </w:r>
      <w:r w:rsidR="007C1BCE">
        <w:rPr>
          <w:rFonts w:asciiTheme="majorHAnsi" w:hAnsiTheme="majorHAnsi"/>
          <w:sz w:val="22"/>
          <w:szCs w:val="22"/>
        </w:rPr>
        <w:t>Over 7,600 Wyndham residents claim Filipino ancestry, however f</w:t>
      </w:r>
      <w:r w:rsidRPr="00113507">
        <w:rPr>
          <w:rFonts w:asciiTheme="majorHAnsi" w:hAnsiTheme="majorHAnsi"/>
          <w:sz w:val="22"/>
          <w:szCs w:val="22"/>
        </w:rPr>
        <w:t>or the purposes of this profile, the Filipino community refers only to those born in the Philippines unless otherwise stated.</w:t>
      </w: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244A618" wp14:editId="2EA4D77D">
            <wp:simplePos x="0" y="0"/>
            <wp:positionH relativeFrom="column">
              <wp:posOffset>-6985</wp:posOffset>
            </wp:positionH>
            <wp:positionV relativeFrom="paragraph">
              <wp:posOffset>221615</wp:posOffset>
            </wp:positionV>
            <wp:extent cx="4333875" cy="25146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07">
        <w:rPr>
          <w:rFonts w:asciiTheme="majorHAnsi" w:hAnsiTheme="majorHAnsi"/>
          <w:sz w:val="22"/>
          <w:szCs w:val="22"/>
        </w:rPr>
        <w:t xml:space="preserve">The Filipino community is older than the total Wyndham population.  As seen in the graph provided, more than half (52%) the Filipino community </w:t>
      </w:r>
      <w:r w:rsidR="00130AD4">
        <w:rPr>
          <w:rFonts w:asciiTheme="majorHAnsi" w:hAnsiTheme="majorHAnsi"/>
          <w:sz w:val="22"/>
          <w:szCs w:val="22"/>
        </w:rPr>
        <w:t>is</w:t>
      </w:r>
      <w:r w:rsidRPr="00113507">
        <w:rPr>
          <w:rFonts w:asciiTheme="majorHAnsi" w:hAnsiTheme="majorHAnsi"/>
          <w:sz w:val="22"/>
          <w:szCs w:val="22"/>
        </w:rPr>
        <w:t xml:space="preserve"> aged between 35 and 59 years, compared to 33% </w:t>
      </w:r>
      <w:r w:rsidR="00130AD4">
        <w:rPr>
          <w:rFonts w:asciiTheme="majorHAnsi" w:hAnsiTheme="majorHAnsi"/>
          <w:sz w:val="22"/>
          <w:szCs w:val="22"/>
        </w:rPr>
        <w:t xml:space="preserve">of people </w:t>
      </w:r>
      <w:r w:rsidRPr="00113507">
        <w:rPr>
          <w:rFonts w:asciiTheme="majorHAnsi" w:hAnsiTheme="majorHAnsi"/>
          <w:sz w:val="22"/>
          <w:szCs w:val="22"/>
        </w:rPr>
        <w:t xml:space="preserve">across Wyndham. Furthermore, less than 1% of </w:t>
      </w:r>
      <w:r w:rsidR="00130AD4">
        <w:rPr>
          <w:rFonts w:asciiTheme="majorHAnsi" w:hAnsiTheme="majorHAnsi"/>
          <w:sz w:val="22"/>
          <w:szCs w:val="22"/>
        </w:rPr>
        <w:t xml:space="preserve">the </w:t>
      </w:r>
      <w:r w:rsidRPr="00113507">
        <w:rPr>
          <w:rFonts w:asciiTheme="majorHAnsi" w:hAnsiTheme="majorHAnsi"/>
          <w:sz w:val="22"/>
          <w:szCs w:val="22"/>
        </w:rPr>
        <w:t xml:space="preserve">Filipino community </w:t>
      </w:r>
      <w:r w:rsidR="00130AD4">
        <w:rPr>
          <w:rFonts w:asciiTheme="majorHAnsi" w:hAnsiTheme="majorHAnsi"/>
          <w:sz w:val="22"/>
          <w:szCs w:val="22"/>
        </w:rPr>
        <w:t>is</w:t>
      </w:r>
      <w:r w:rsidRPr="00113507">
        <w:rPr>
          <w:rFonts w:asciiTheme="majorHAnsi" w:hAnsiTheme="majorHAnsi"/>
          <w:sz w:val="22"/>
          <w:szCs w:val="22"/>
        </w:rPr>
        <w:t xml:space="preserve"> aged 0-4 years, compared to nearly 10% across Wyndham. </w:t>
      </w:r>
    </w:p>
    <w:p w:rsidR="00113507" w:rsidRPr="00113507" w:rsidRDefault="00D95E64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A26A00C" wp14:editId="36D6D2A3">
            <wp:simplePos x="0" y="0"/>
            <wp:positionH relativeFrom="column">
              <wp:posOffset>-723900</wp:posOffset>
            </wp:positionH>
            <wp:positionV relativeFrom="paragraph">
              <wp:posOffset>1381125</wp:posOffset>
            </wp:positionV>
            <wp:extent cx="3028950" cy="18097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07" w:rsidRPr="00113507">
        <w:rPr>
          <w:rFonts w:asciiTheme="majorHAnsi" w:hAnsiTheme="majorHAnsi"/>
          <w:sz w:val="22"/>
          <w:szCs w:val="22"/>
        </w:rPr>
        <w:t xml:space="preserve">Tagalog, a language spoken by approximately one third of the population of the Philippines, is the most commonly spoken language amongst Wyndham’s Filipino community (44%). Filipino, the standardised version of Tagalog and the official language of the Philippines, is the second most commonly spoken language (33%). Approximately 18% of people speak English at home, and almost 80% of </w:t>
      </w:r>
      <w:r w:rsidR="00130AD4">
        <w:rPr>
          <w:rFonts w:asciiTheme="majorHAnsi" w:hAnsiTheme="majorHAnsi"/>
          <w:sz w:val="22"/>
          <w:szCs w:val="22"/>
        </w:rPr>
        <w:t>people</w:t>
      </w:r>
      <w:r w:rsidR="00113507" w:rsidRPr="00113507">
        <w:rPr>
          <w:rFonts w:asciiTheme="majorHAnsi" w:hAnsiTheme="majorHAnsi"/>
          <w:sz w:val="22"/>
          <w:szCs w:val="22"/>
        </w:rPr>
        <w:t xml:space="preserve"> can speak English well or very well. </w:t>
      </w:r>
    </w:p>
    <w:p w:rsidR="00113507" w:rsidRPr="00113507" w:rsidRDefault="00113507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>The Philippines is the largest Catholic country in Asia</w:t>
      </w:r>
      <w:r w:rsidRPr="00113507">
        <w:rPr>
          <w:rStyle w:val="EndnoteReference"/>
          <w:rFonts w:asciiTheme="majorHAnsi" w:hAnsiTheme="majorHAnsi"/>
          <w:sz w:val="22"/>
          <w:szCs w:val="22"/>
        </w:rPr>
        <w:endnoteReference w:id="1"/>
      </w:r>
      <w:r w:rsidRPr="00113507">
        <w:rPr>
          <w:rFonts w:asciiTheme="majorHAnsi" w:hAnsiTheme="majorHAnsi"/>
          <w:sz w:val="22"/>
          <w:szCs w:val="22"/>
        </w:rPr>
        <w:t xml:space="preserve"> and the majority of Wyndham’s Filipino community</w:t>
      </w:r>
      <w:r w:rsidR="00130AD4">
        <w:rPr>
          <w:rFonts w:asciiTheme="majorHAnsi" w:hAnsiTheme="majorHAnsi"/>
          <w:sz w:val="22"/>
          <w:szCs w:val="22"/>
        </w:rPr>
        <w:t xml:space="preserve"> continues </w:t>
      </w:r>
      <w:r w:rsidRPr="00113507">
        <w:rPr>
          <w:rFonts w:asciiTheme="majorHAnsi" w:hAnsiTheme="majorHAnsi"/>
          <w:sz w:val="22"/>
          <w:szCs w:val="22"/>
        </w:rPr>
        <w:t>to practice Catholicism</w:t>
      </w:r>
      <w:r w:rsidR="00130AD4">
        <w:rPr>
          <w:rFonts w:asciiTheme="majorHAnsi" w:hAnsiTheme="majorHAnsi"/>
          <w:sz w:val="22"/>
          <w:szCs w:val="22"/>
        </w:rPr>
        <w:t xml:space="preserve"> </w:t>
      </w:r>
      <w:r w:rsidRPr="00113507">
        <w:rPr>
          <w:rFonts w:asciiTheme="majorHAnsi" w:hAnsiTheme="majorHAnsi"/>
          <w:sz w:val="22"/>
          <w:szCs w:val="22"/>
        </w:rPr>
        <w:t xml:space="preserve">(72%). </w:t>
      </w:r>
    </w:p>
    <w:p w:rsidR="00113507" w:rsidRPr="00113507" w:rsidRDefault="004D1B21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2016</w:t>
      </w:r>
      <w:r w:rsidR="00113507" w:rsidRPr="00113507">
        <w:rPr>
          <w:rFonts w:asciiTheme="majorHAnsi" w:hAnsiTheme="majorHAnsi"/>
          <w:sz w:val="22"/>
          <w:szCs w:val="22"/>
        </w:rPr>
        <w:t>, a large proportion of Filipino residents aged over 15 had obtained a Bachelor or higher degree (PhD, Masters) (45</w:t>
      </w:r>
      <w:r>
        <w:rPr>
          <w:rFonts w:asciiTheme="majorHAnsi" w:hAnsiTheme="majorHAnsi"/>
          <w:sz w:val="22"/>
          <w:szCs w:val="22"/>
        </w:rPr>
        <w:t>.9</w:t>
      </w:r>
      <w:r w:rsidR="00113507" w:rsidRPr="00113507">
        <w:rPr>
          <w:rFonts w:asciiTheme="majorHAnsi" w:hAnsiTheme="majorHAnsi"/>
          <w:sz w:val="22"/>
          <w:szCs w:val="22"/>
        </w:rPr>
        <w:t>%) and approximately 2</w:t>
      </w:r>
      <w:r>
        <w:rPr>
          <w:rFonts w:asciiTheme="majorHAnsi" w:hAnsiTheme="majorHAnsi"/>
          <w:sz w:val="22"/>
          <w:szCs w:val="22"/>
        </w:rPr>
        <w:t>3.3</w:t>
      </w:r>
      <w:r w:rsidR="00113507" w:rsidRPr="00113507">
        <w:rPr>
          <w:rFonts w:asciiTheme="majorHAnsi" w:hAnsiTheme="majorHAnsi"/>
          <w:sz w:val="22"/>
          <w:szCs w:val="22"/>
        </w:rPr>
        <w:t>% had obtained a Certificate</w:t>
      </w:r>
      <w:r>
        <w:rPr>
          <w:rFonts w:asciiTheme="majorHAnsi" w:hAnsiTheme="majorHAnsi"/>
          <w:sz w:val="22"/>
          <w:szCs w:val="22"/>
        </w:rPr>
        <w:t xml:space="preserve"> or Advanced Diploma or Diploma.</w:t>
      </w:r>
    </w:p>
    <w:p w:rsidR="00113507" w:rsidRPr="00113507" w:rsidRDefault="004D1B21" w:rsidP="00C15368">
      <w:pPr>
        <w:spacing w:after="6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 a fifth </w:t>
      </w:r>
      <w:r w:rsidR="00113507" w:rsidRPr="00113507">
        <w:rPr>
          <w:rFonts w:asciiTheme="majorHAnsi" w:hAnsiTheme="majorHAnsi"/>
          <w:sz w:val="22"/>
          <w:szCs w:val="22"/>
        </w:rPr>
        <w:t xml:space="preserve">of </w:t>
      </w:r>
      <w:r w:rsidR="00130AD4">
        <w:rPr>
          <w:rFonts w:asciiTheme="majorHAnsi" w:hAnsiTheme="majorHAnsi"/>
          <w:sz w:val="22"/>
          <w:szCs w:val="22"/>
        </w:rPr>
        <w:t>Wyndham’s</w:t>
      </w:r>
      <w:r w:rsidR="00113507" w:rsidRPr="00113507">
        <w:rPr>
          <w:rFonts w:asciiTheme="majorHAnsi" w:hAnsiTheme="majorHAnsi"/>
          <w:sz w:val="22"/>
          <w:szCs w:val="22"/>
        </w:rPr>
        <w:t xml:space="preserve"> Filipino communit</w:t>
      </w:r>
      <w:r w:rsidR="00130AD4">
        <w:rPr>
          <w:rFonts w:asciiTheme="majorHAnsi" w:hAnsiTheme="majorHAnsi"/>
          <w:sz w:val="22"/>
          <w:szCs w:val="22"/>
        </w:rPr>
        <w:t>y</w:t>
      </w:r>
      <w:r w:rsidR="00113507" w:rsidRPr="00113507">
        <w:rPr>
          <w:rFonts w:asciiTheme="majorHAnsi" w:hAnsiTheme="majorHAnsi"/>
          <w:sz w:val="22"/>
          <w:szCs w:val="22"/>
        </w:rPr>
        <w:t xml:space="preserve"> (over 15 years) work as Managers and Professionals</w:t>
      </w:r>
      <w:r>
        <w:rPr>
          <w:rFonts w:asciiTheme="majorHAnsi" w:hAnsiTheme="majorHAnsi"/>
          <w:sz w:val="22"/>
          <w:szCs w:val="22"/>
        </w:rPr>
        <w:t xml:space="preserve"> (20.6%, down from just under 25% in 2011)</w:t>
      </w:r>
      <w:r w:rsidR="00113507" w:rsidRPr="00113507">
        <w:rPr>
          <w:rFonts w:asciiTheme="majorHAnsi" w:hAnsiTheme="majorHAnsi"/>
          <w:sz w:val="22"/>
          <w:szCs w:val="22"/>
        </w:rPr>
        <w:t xml:space="preserve">, </w:t>
      </w:r>
      <w:r w:rsidR="00130AD4">
        <w:rPr>
          <w:rFonts w:asciiTheme="majorHAnsi" w:hAnsiTheme="majorHAnsi"/>
          <w:sz w:val="22"/>
          <w:szCs w:val="22"/>
        </w:rPr>
        <w:t>and</w:t>
      </w:r>
      <w:r w:rsidR="00113507" w:rsidRPr="0011350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16.8</w:t>
      </w:r>
      <w:r w:rsidR="00113507" w:rsidRPr="00113507">
        <w:rPr>
          <w:rFonts w:asciiTheme="majorHAnsi" w:hAnsiTheme="majorHAnsi"/>
          <w:sz w:val="22"/>
          <w:szCs w:val="22"/>
        </w:rPr>
        <w:t xml:space="preserve">% work as </w:t>
      </w:r>
      <w:proofErr w:type="spellStart"/>
      <w:r w:rsidR="00113507" w:rsidRPr="00113507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abourers</w:t>
      </w:r>
      <w:proofErr w:type="spellEnd"/>
      <w:r>
        <w:rPr>
          <w:rFonts w:asciiTheme="majorHAnsi" w:hAnsiTheme="majorHAnsi"/>
          <w:sz w:val="22"/>
          <w:szCs w:val="22"/>
        </w:rPr>
        <w:t xml:space="preserve"> and Machine Operators (down from 18% in 2011).</w:t>
      </w:r>
    </w:p>
    <w:p w:rsidR="00C723DB" w:rsidRPr="00113507" w:rsidRDefault="00113507" w:rsidP="00D95E64">
      <w:pPr>
        <w:spacing w:line="276" w:lineRule="auto"/>
        <w:rPr>
          <w:rFonts w:asciiTheme="majorHAnsi" w:hAnsiTheme="majorHAnsi"/>
          <w:sz w:val="22"/>
          <w:szCs w:val="22"/>
        </w:rPr>
      </w:pPr>
      <w:r w:rsidRPr="00113507">
        <w:rPr>
          <w:rFonts w:asciiTheme="majorHAnsi" w:hAnsiTheme="majorHAnsi"/>
          <w:sz w:val="22"/>
          <w:szCs w:val="22"/>
        </w:rPr>
        <w:t xml:space="preserve">At the 2016 Census, the majority of the Filipino community </w:t>
      </w:r>
      <w:r>
        <w:rPr>
          <w:rFonts w:asciiTheme="majorHAnsi" w:hAnsiTheme="majorHAnsi"/>
          <w:sz w:val="22"/>
          <w:szCs w:val="22"/>
        </w:rPr>
        <w:t>lived</w:t>
      </w:r>
      <w:r w:rsidRPr="00113507">
        <w:rPr>
          <w:rFonts w:asciiTheme="majorHAnsi" w:hAnsiTheme="majorHAnsi"/>
          <w:sz w:val="22"/>
          <w:szCs w:val="22"/>
        </w:rPr>
        <w:t xml:space="preserve"> in Tarneit and Point Cook.</w:t>
      </w:r>
      <w:r w:rsidRPr="00113507">
        <w:rPr>
          <w:rStyle w:val="EndnoteReference"/>
          <w:rFonts w:asciiTheme="majorHAnsi" w:hAnsiTheme="majorHAnsi"/>
          <w:sz w:val="22"/>
          <w:szCs w:val="22"/>
        </w:rPr>
        <w:endnoteReference w:id="2"/>
      </w:r>
    </w:p>
    <w:sectPr w:rsidR="00C723DB" w:rsidRPr="00113507" w:rsidSect="0011350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98" w:rsidRDefault="002D1E98" w:rsidP="00D62CF1">
      <w:r>
        <w:separator/>
      </w:r>
    </w:p>
  </w:endnote>
  <w:endnote w:type="continuationSeparator" w:id="0">
    <w:p w:rsidR="002D1E98" w:rsidRDefault="002D1E98" w:rsidP="00D62CF1">
      <w:r>
        <w:continuationSeparator/>
      </w:r>
    </w:p>
  </w:endnote>
  <w:endnote w:id="1">
    <w:p w:rsidR="00113507" w:rsidRPr="00872FD8" w:rsidRDefault="00113507" w:rsidP="00113507">
      <w:pPr>
        <w:pStyle w:val="EndnoteText"/>
        <w:rPr>
          <w:rFonts w:asciiTheme="majorHAnsi" w:hAnsiTheme="majorHAnsi"/>
          <w:sz w:val="16"/>
          <w:szCs w:val="16"/>
        </w:rPr>
      </w:pPr>
      <w:r w:rsidRPr="00872FD8">
        <w:rPr>
          <w:rStyle w:val="EndnoteReference"/>
          <w:rFonts w:asciiTheme="majorHAnsi" w:hAnsiTheme="majorHAnsi"/>
          <w:sz w:val="16"/>
          <w:szCs w:val="16"/>
        </w:rPr>
        <w:endnoteRef/>
      </w:r>
      <w:r w:rsidRPr="00872FD8">
        <w:rPr>
          <w:rFonts w:asciiTheme="majorHAnsi" w:hAnsiTheme="majorHAnsi"/>
          <w:sz w:val="16"/>
          <w:szCs w:val="16"/>
        </w:rPr>
        <w:t xml:space="preserve"> http://www.pewresearch.org/fact-tank/2015/01/09/5-facts-about-catholicism-in-the-philippines/</w:t>
      </w:r>
    </w:p>
  </w:endnote>
  <w:endnote w:id="2">
    <w:p w:rsidR="00872FD8" w:rsidRPr="00872FD8" w:rsidRDefault="00113507" w:rsidP="00872FD8">
      <w:pPr>
        <w:rPr>
          <w:rFonts w:asciiTheme="majorHAnsi" w:hAnsiTheme="majorHAnsi"/>
          <w:sz w:val="16"/>
          <w:szCs w:val="16"/>
        </w:rPr>
      </w:pPr>
      <w:r w:rsidRPr="00872FD8">
        <w:rPr>
          <w:rStyle w:val="EndnoteReference"/>
          <w:rFonts w:asciiTheme="majorHAnsi" w:hAnsiTheme="majorHAnsi"/>
          <w:sz w:val="16"/>
          <w:szCs w:val="16"/>
        </w:rPr>
        <w:endnoteRef/>
      </w:r>
      <w:r w:rsidRPr="00872FD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872FD8" w:rsidRPr="00872FD8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="00872FD8" w:rsidRPr="00872FD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872FD8" w:rsidRPr="00872FD8">
        <w:rPr>
          <w:rFonts w:asciiTheme="majorHAnsi" w:hAnsiTheme="majorHAnsi"/>
          <w:sz w:val="16"/>
          <w:szCs w:val="16"/>
        </w:rPr>
        <w:t>(2011 and 2016).</w:t>
      </w:r>
      <w:proofErr w:type="gramEnd"/>
      <w:r w:rsidR="00872FD8" w:rsidRPr="00872FD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872FD8" w:rsidRPr="00872FD8">
        <w:rPr>
          <w:rFonts w:asciiTheme="majorHAnsi" w:hAnsiTheme="majorHAnsi"/>
          <w:i/>
          <w:sz w:val="16"/>
          <w:szCs w:val="16"/>
        </w:rPr>
        <w:t>Census of Population and Housing</w:t>
      </w:r>
      <w:r w:rsidR="00872FD8" w:rsidRPr="00872FD8">
        <w:rPr>
          <w:rFonts w:asciiTheme="majorHAnsi" w:hAnsiTheme="majorHAnsi"/>
          <w:sz w:val="16"/>
          <w:szCs w:val="16"/>
        </w:rPr>
        <w:t>.</w:t>
      </w:r>
      <w:proofErr w:type="gramEnd"/>
      <w:r w:rsidR="00872FD8" w:rsidRPr="00872FD8">
        <w:rPr>
          <w:rFonts w:asciiTheme="majorHAnsi" w:hAnsiTheme="majorHAnsi"/>
          <w:sz w:val="16"/>
          <w:szCs w:val="16"/>
        </w:rPr>
        <w:t xml:space="preserve"> Retrieved from </w:t>
      </w:r>
      <w:hyperlink r:id="rId1" w:history="1">
        <w:r w:rsidR="00872FD8" w:rsidRPr="00872FD8">
          <w:rPr>
            <w:rStyle w:val="Hyperlink"/>
            <w:rFonts w:asciiTheme="majorHAnsi" w:hAnsiTheme="majorHAnsi"/>
            <w:sz w:val="16"/>
            <w:szCs w:val="16"/>
          </w:rPr>
          <w:t>https://auth.censusdata.abs.gov.au/webapi/jsf/login.xhtml</w:t>
        </w:r>
      </w:hyperlink>
    </w:p>
    <w:p w:rsidR="00872FD8" w:rsidRPr="00872FD8" w:rsidRDefault="00872FD8" w:rsidP="00872FD8">
      <w:pPr>
        <w:rPr>
          <w:rFonts w:asciiTheme="majorHAnsi" w:hAnsiTheme="majorHAnsi"/>
          <w:sz w:val="16"/>
          <w:szCs w:val="16"/>
        </w:rPr>
      </w:pPr>
      <w:proofErr w:type="gramStart"/>
      <w:r w:rsidRPr="00872FD8">
        <w:rPr>
          <w:rFonts w:asciiTheme="majorHAnsi" w:hAnsiTheme="majorHAnsi"/>
          <w:sz w:val="16"/>
          <w:szCs w:val="16"/>
        </w:rPr>
        <w:t>Australian Bureau of Statistics.</w:t>
      </w:r>
      <w:proofErr w:type="gramEnd"/>
      <w:r w:rsidRPr="00872FD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872FD8">
        <w:rPr>
          <w:rFonts w:asciiTheme="majorHAnsi" w:hAnsiTheme="majorHAnsi"/>
          <w:sz w:val="16"/>
          <w:szCs w:val="16"/>
        </w:rPr>
        <w:t>(2011 and 2016).</w:t>
      </w:r>
      <w:proofErr w:type="gramEnd"/>
      <w:r w:rsidRPr="00872FD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872FD8">
        <w:rPr>
          <w:rFonts w:asciiTheme="majorHAnsi" w:hAnsiTheme="majorHAnsi"/>
          <w:i/>
          <w:sz w:val="16"/>
          <w:szCs w:val="16"/>
        </w:rPr>
        <w:t>Census of Population and Housing</w:t>
      </w:r>
      <w:r w:rsidRPr="00872FD8">
        <w:rPr>
          <w:rFonts w:asciiTheme="majorHAnsi" w:hAnsiTheme="majorHAnsi"/>
          <w:sz w:val="16"/>
          <w:szCs w:val="16"/>
        </w:rPr>
        <w:t>.</w:t>
      </w:r>
      <w:proofErr w:type="gramEnd"/>
      <w:r w:rsidRPr="00872FD8">
        <w:rPr>
          <w:rFonts w:asciiTheme="majorHAnsi" w:hAnsiTheme="majorHAnsi"/>
          <w:sz w:val="16"/>
          <w:szCs w:val="16"/>
        </w:rPr>
        <w:t xml:space="preserve"> Retrieved from .id Consulting </w:t>
      </w:r>
      <w:hyperlink r:id="rId2" w:history="1">
        <w:r w:rsidRPr="00872FD8">
          <w:rPr>
            <w:rStyle w:val="Hyperlink"/>
            <w:rFonts w:asciiTheme="majorHAnsi" w:hAnsiTheme="majorHAnsi"/>
            <w:sz w:val="16"/>
            <w:szCs w:val="16"/>
          </w:rPr>
          <w:t>http://profile.id.com.au/wyndham</w:t>
        </w:r>
      </w:hyperlink>
      <w:r w:rsidRPr="00872FD8">
        <w:rPr>
          <w:rFonts w:asciiTheme="majorHAnsi" w:hAnsiTheme="majorHAnsi"/>
          <w:sz w:val="16"/>
          <w:szCs w:val="16"/>
        </w:rPr>
        <w:t xml:space="preserve"> </w:t>
      </w:r>
    </w:p>
    <w:p w:rsidR="00113507" w:rsidRPr="00A30916" w:rsidRDefault="00113507" w:rsidP="00113507">
      <w:pPr>
        <w:pStyle w:val="EndnoteText"/>
        <w:rPr>
          <w:color w:val="0000FF" w:themeColor="hyperlink"/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98" w:rsidRDefault="002D1E98" w:rsidP="00D62CF1">
      <w:r>
        <w:separator/>
      </w:r>
    </w:p>
  </w:footnote>
  <w:footnote w:type="continuationSeparator" w:id="0">
    <w:p w:rsidR="002D1E98" w:rsidRDefault="002D1E98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F30590A" wp14:editId="5CD4C300">
          <wp:simplePos x="0" y="0"/>
          <wp:positionH relativeFrom="column">
            <wp:posOffset>-540385</wp:posOffset>
          </wp:positionH>
          <wp:positionV relativeFrom="paragraph">
            <wp:posOffset>-336207</wp:posOffset>
          </wp:positionV>
          <wp:extent cx="7559901" cy="2483708"/>
          <wp:effectExtent l="0" t="0" r="3175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2484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354"/>
    <w:multiLevelType w:val="hybridMultilevel"/>
    <w:tmpl w:val="3180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7"/>
    <w:rsid w:val="0004478A"/>
    <w:rsid w:val="00066BC8"/>
    <w:rsid w:val="000D338F"/>
    <w:rsid w:val="000E4083"/>
    <w:rsid w:val="000F5687"/>
    <w:rsid w:val="0010335E"/>
    <w:rsid w:val="00113507"/>
    <w:rsid w:val="00130AD4"/>
    <w:rsid w:val="002012EC"/>
    <w:rsid w:val="00220144"/>
    <w:rsid w:val="00254715"/>
    <w:rsid w:val="002D1E98"/>
    <w:rsid w:val="0034536F"/>
    <w:rsid w:val="00386175"/>
    <w:rsid w:val="003C0E22"/>
    <w:rsid w:val="003E2167"/>
    <w:rsid w:val="004141EE"/>
    <w:rsid w:val="0041664F"/>
    <w:rsid w:val="00430DB0"/>
    <w:rsid w:val="004A31FF"/>
    <w:rsid w:val="004D1B21"/>
    <w:rsid w:val="00554173"/>
    <w:rsid w:val="006357F8"/>
    <w:rsid w:val="00670C3A"/>
    <w:rsid w:val="006F32E8"/>
    <w:rsid w:val="00766C1B"/>
    <w:rsid w:val="007B2BEF"/>
    <w:rsid w:val="007C1BCE"/>
    <w:rsid w:val="007F500D"/>
    <w:rsid w:val="007F7E71"/>
    <w:rsid w:val="00872FD8"/>
    <w:rsid w:val="00893A96"/>
    <w:rsid w:val="00893C52"/>
    <w:rsid w:val="00951D17"/>
    <w:rsid w:val="00996DAF"/>
    <w:rsid w:val="009A079B"/>
    <w:rsid w:val="009C07C9"/>
    <w:rsid w:val="009C423C"/>
    <w:rsid w:val="009E295A"/>
    <w:rsid w:val="00A51216"/>
    <w:rsid w:val="00B16F22"/>
    <w:rsid w:val="00BB6A5D"/>
    <w:rsid w:val="00BD1367"/>
    <w:rsid w:val="00C15368"/>
    <w:rsid w:val="00C5537F"/>
    <w:rsid w:val="00C723DB"/>
    <w:rsid w:val="00CC7137"/>
    <w:rsid w:val="00D62CF1"/>
    <w:rsid w:val="00D95E64"/>
    <w:rsid w:val="00DF0D56"/>
    <w:rsid w:val="00E03F01"/>
    <w:rsid w:val="00E60950"/>
    <w:rsid w:val="00E62FDC"/>
    <w:rsid w:val="00EE144D"/>
    <w:rsid w:val="00F4181E"/>
    <w:rsid w:val="00F82156"/>
    <w:rsid w:val="00FC0DE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07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507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135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507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507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1135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file.id.com.au/wyndham" TargetMode="External"/><Relationship Id="rId1" Type="http://schemas.openxmlformats.org/officeDocument/2006/relationships/hyperlink" Target="https://auth.censusdata.abs.gov.au/webapi/jsf/login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ommunities%20of%20interest%20-%20CALD%20data%20working%20sheet%20(A174119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06936918056346"/>
          <c:y val="5.1400554097404488E-2"/>
          <c:w val="0.87169447039459047"/>
          <c:h val="0.56703724800357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Filipino!$B$30</c:f>
              <c:strCache>
                <c:ptCount val="1"/>
                <c:pt idx="0">
                  <c:v>Philippines born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Filipino!$A$32:$A$45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 + years</c:v>
                </c:pt>
              </c:strCache>
            </c:strRef>
          </c:cat>
          <c:val>
            <c:numRef>
              <c:f>Filipino!$C$32:$C$45</c:f>
              <c:numCache>
                <c:formatCode>0.0#%</c:formatCode>
                <c:ptCount val="14"/>
                <c:pt idx="0">
                  <c:v>6.8098479999999994E-3</c:v>
                </c:pt>
                <c:pt idx="1">
                  <c:v>2.4620220000000002E-2</c:v>
                </c:pt>
                <c:pt idx="2">
                  <c:v>5.5351841999999998E-2</c:v>
                </c:pt>
                <c:pt idx="3">
                  <c:v>6.9844595999999995E-2</c:v>
                </c:pt>
                <c:pt idx="4">
                  <c:v>6.0939409999999999E-2</c:v>
                </c:pt>
                <c:pt idx="5">
                  <c:v>7.5257552000000005E-2</c:v>
                </c:pt>
                <c:pt idx="6">
                  <c:v>9.6385541999999991E-2</c:v>
                </c:pt>
                <c:pt idx="7">
                  <c:v>0.128863279</c:v>
                </c:pt>
                <c:pt idx="8">
                  <c:v>0.122577266</c:v>
                </c:pt>
                <c:pt idx="9">
                  <c:v>0.11611663999999999</c:v>
                </c:pt>
                <c:pt idx="10">
                  <c:v>9.1671032E-2</c:v>
                </c:pt>
                <c:pt idx="11">
                  <c:v>5.9891740999999998E-2</c:v>
                </c:pt>
                <c:pt idx="12">
                  <c:v>4.4700540999999996E-2</c:v>
                </c:pt>
                <c:pt idx="13">
                  <c:v>4.6399999999999997E-2</c:v>
                </c:pt>
              </c:numCache>
            </c:numRef>
          </c:val>
        </c:ser>
        <c:ser>
          <c:idx val="1"/>
          <c:order val="1"/>
          <c:tx>
            <c:strRef>
              <c:f>Filipino!$D$30</c:f>
              <c:strCache>
                <c:ptCount val="1"/>
                <c:pt idx="0">
                  <c:v>Wyndham total pop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Filipino!$A$32:$A$45</c:f>
              <c:strCache>
                <c:ptCount val="14"/>
                <c:pt idx="0">
                  <c:v>0-4 years</c:v>
                </c:pt>
                <c:pt idx="1">
                  <c:v>5-9 years</c:v>
                </c:pt>
                <c:pt idx="2">
                  <c:v>10-14 years</c:v>
                </c:pt>
                <c:pt idx="3">
                  <c:v>15-19 years</c:v>
                </c:pt>
                <c:pt idx="4">
                  <c:v>20-24 years</c:v>
                </c:pt>
                <c:pt idx="5">
                  <c:v>25-29 years</c:v>
                </c:pt>
                <c:pt idx="6">
                  <c:v>30-34 years</c:v>
                </c:pt>
                <c:pt idx="7">
                  <c:v>35-39 years</c:v>
                </c:pt>
                <c:pt idx="8">
                  <c:v>40-44 years</c:v>
                </c:pt>
                <c:pt idx="9">
                  <c:v>45-49 years</c:v>
                </c:pt>
                <c:pt idx="10">
                  <c:v>50-54 years</c:v>
                </c:pt>
                <c:pt idx="11">
                  <c:v>55-59 years</c:v>
                </c:pt>
                <c:pt idx="12">
                  <c:v>60-64 years</c:v>
                </c:pt>
                <c:pt idx="13">
                  <c:v>65 + years</c:v>
                </c:pt>
              </c:strCache>
            </c:strRef>
          </c:cat>
          <c:val>
            <c:numRef>
              <c:f>Filipino!$D$32:$D$45</c:f>
              <c:numCache>
                <c:formatCode>0.0#%</c:formatCode>
                <c:ptCount val="14"/>
                <c:pt idx="0">
                  <c:v>9.8476405000000003E-2</c:v>
                </c:pt>
                <c:pt idx="1">
                  <c:v>8.472811999999999E-2</c:v>
                </c:pt>
                <c:pt idx="2">
                  <c:v>6.4610028E-2</c:v>
                </c:pt>
                <c:pt idx="3">
                  <c:v>5.8663952000000005E-2</c:v>
                </c:pt>
                <c:pt idx="4">
                  <c:v>6.1597841000000007E-2</c:v>
                </c:pt>
                <c:pt idx="5">
                  <c:v>8.026050400000001E-2</c:v>
                </c:pt>
                <c:pt idx="6">
                  <c:v>0.10807947800000001</c:v>
                </c:pt>
                <c:pt idx="7">
                  <c:v>9.4345011000000006E-2</c:v>
                </c:pt>
                <c:pt idx="8">
                  <c:v>7.4319034000000006E-2</c:v>
                </c:pt>
                <c:pt idx="9">
                  <c:v>6.3205261999999998E-2</c:v>
                </c:pt>
                <c:pt idx="10">
                  <c:v>5.3883142000000002E-2</c:v>
                </c:pt>
                <c:pt idx="11">
                  <c:v>4.5320977999999998E-2</c:v>
                </c:pt>
                <c:pt idx="12">
                  <c:v>3.7237815E-2</c:v>
                </c:pt>
                <c:pt idx="13">
                  <c:v>7.5300000000000006E-2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61536"/>
        <c:axId val="69234688"/>
      </c:barChart>
      <c:catAx>
        <c:axId val="18736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69234688"/>
        <c:crosses val="autoZero"/>
        <c:auto val="1"/>
        <c:lblAlgn val="ctr"/>
        <c:lblOffset val="100"/>
        <c:noMultiLvlLbl val="0"/>
      </c:catAx>
      <c:valAx>
        <c:axId val="69234688"/>
        <c:scaling>
          <c:orientation val="minMax"/>
        </c:scaling>
        <c:delete val="0"/>
        <c:axPos val="l"/>
        <c:majorGridlines/>
        <c:numFmt formatCode="0.0#%" sourceLinked="1"/>
        <c:majorTickMark val="out"/>
        <c:minorTickMark val="none"/>
        <c:tickLblPos val="nextTo"/>
        <c:crossAx val="18736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978846923795542"/>
          <c:y val="0.90986225261988241"/>
          <c:w val="0.55521153076204455"/>
          <c:h val="8.636511676916297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Filipino!$A$82:$A$88</c:f>
              <c:strCache>
                <c:ptCount val="7"/>
                <c:pt idx="0">
                  <c:v>Tagalog</c:v>
                </c:pt>
                <c:pt idx="1">
                  <c:v>Filipino</c:v>
                </c:pt>
                <c:pt idx="2">
                  <c:v>English</c:v>
                </c:pt>
                <c:pt idx="3">
                  <c:v>Bisaya</c:v>
                </c:pt>
                <c:pt idx="4">
                  <c:v>Cebuano</c:v>
                </c:pt>
                <c:pt idx="5">
                  <c:v>Other</c:v>
                </c:pt>
                <c:pt idx="6">
                  <c:v>Not stated</c:v>
                </c:pt>
              </c:strCache>
            </c:strRef>
          </c:cat>
          <c:val>
            <c:numRef>
              <c:f>Filipino!$B$82:$B$88</c:f>
              <c:numCache>
                <c:formatCode>0.0#%</c:formatCode>
                <c:ptCount val="7"/>
                <c:pt idx="0">
                  <c:v>0.44211629100000005</c:v>
                </c:pt>
                <c:pt idx="1">
                  <c:v>0.32512659300000002</c:v>
                </c:pt>
                <c:pt idx="2">
                  <c:v>0.17548454700000002</c:v>
                </c:pt>
                <c:pt idx="3">
                  <c:v>1.6064256999999998E-2</c:v>
                </c:pt>
                <c:pt idx="4">
                  <c:v>1.5365811E-2</c:v>
                </c:pt>
                <c:pt idx="5">
                  <c:v>1.0800000000000001E-2</c:v>
                </c:pt>
                <c:pt idx="6">
                  <c:v>5.412956E-3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B49D5-17FC-4890-BCDF-C8CA770E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1954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Robin Visser</cp:lastModifiedBy>
  <cp:revision>2</cp:revision>
  <dcterms:created xsi:type="dcterms:W3CDTF">2017-11-14T05:34:00Z</dcterms:created>
  <dcterms:modified xsi:type="dcterms:W3CDTF">2017-11-14T05:34:00Z</dcterms:modified>
</cp:coreProperties>
</file>