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1" w:rsidRDefault="00430DB0" w:rsidP="00F4181E">
      <w:pPr>
        <w:pStyle w:val="Header02"/>
        <w:sectPr w:rsidR="00E32291" w:rsidSect="00FC0DE6">
          <w:footerReference w:type="default" r:id="rId8"/>
          <w:headerReference w:type="first" r:id="rId9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D81C8" wp14:editId="0C08AC34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251325" cy="1043940"/>
                <wp:effectExtent l="0" t="0" r="15875" b="3810"/>
                <wp:wrapThrough wrapText="bothSides">
                  <wp:wrapPolygon edited="0">
                    <wp:start x="0" y="0"/>
                    <wp:lineTo x="0" y="21285"/>
                    <wp:lineTo x="21584" y="21285"/>
                    <wp:lineTo x="2158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E32291" w:rsidRDefault="00E32291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E32291">
                              <w:rPr>
                                <w:sz w:val="80"/>
                                <w:szCs w:val="80"/>
                              </w:rPr>
                              <w:t>Places and Spaces</w:t>
                            </w:r>
                          </w:p>
                          <w:p w:rsidR="00FC0DE6" w:rsidRPr="00DF1843" w:rsidRDefault="00E32291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B521FC">
                              <w:t xml:space="preserve"> – Wyndham City plan 2017-21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34.7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" filled="f" stroked="f">
                <v:textbox inset="0,0,0,0">
                  <w:txbxContent>
                    <w:p w:rsidR="00FC0DE6" w:rsidRPr="00E32291" w:rsidRDefault="00E32291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E32291">
                        <w:rPr>
                          <w:sz w:val="80"/>
                          <w:szCs w:val="80"/>
                        </w:rPr>
                        <w:t>Places and Spaces</w:t>
                      </w:r>
                    </w:p>
                    <w:p w:rsidR="00FC0DE6" w:rsidRPr="00DF1843" w:rsidRDefault="00E32291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B521FC">
                        <w:t xml:space="preserve"> – Wyndham City plan 2017-21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32291" w:rsidRDefault="00E32291" w:rsidP="00F4181E">
      <w:pPr>
        <w:pStyle w:val="Header02"/>
        <w:sectPr w:rsidR="00E32291" w:rsidSect="00E32291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</w:p>
    <w:p w:rsidR="00B521FC" w:rsidRDefault="00B521FC" w:rsidP="00C723DB">
      <w:pPr>
        <w:pStyle w:val="Body01"/>
        <w:rPr>
          <w:color w:val="1F497D" w:themeColor="text2"/>
          <w:sz w:val="28"/>
          <w:szCs w:val="28"/>
        </w:rPr>
      </w:pPr>
    </w:p>
    <w:p w:rsidR="00B521FC" w:rsidRDefault="00B521FC" w:rsidP="00C723DB">
      <w:pPr>
        <w:pStyle w:val="Body01"/>
        <w:rPr>
          <w:color w:val="1F497D" w:themeColor="text2"/>
          <w:sz w:val="28"/>
          <w:szCs w:val="28"/>
        </w:rPr>
      </w:pPr>
    </w:p>
    <w:p w:rsidR="00134C17" w:rsidRPr="00134C17" w:rsidRDefault="00134C17" w:rsidP="00C723DB">
      <w:pPr>
        <w:pStyle w:val="Body01"/>
        <w:rPr>
          <w:color w:val="1F497D" w:themeColor="text2"/>
          <w:sz w:val="28"/>
          <w:szCs w:val="28"/>
        </w:rPr>
        <w:sectPr w:rsidR="00134C17" w:rsidRPr="00134C17" w:rsidSect="00E27C7E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  <w:r w:rsidRPr="00134C17">
        <w:rPr>
          <w:color w:val="1F497D" w:themeColor="text2"/>
          <w:sz w:val="28"/>
          <w:szCs w:val="28"/>
        </w:rPr>
        <w:t>Infrastructure and housing diversity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3888"/>
      </w:tblGrid>
      <w:tr w:rsidR="00175636" w:rsidRPr="00942A42" w:rsidTr="006E44D5">
        <w:tc>
          <w:tcPr>
            <w:tcW w:w="10314" w:type="dxa"/>
            <w:gridSpan w:val="2"/>
          </w:tcPr>
          <w:p w:rsidR="00175636" w:rsidRPr="00942A42" w:rsidRDefault="00A80821" w:rsidP="00FC3FC9">
            <w:pPr>
              <w:pStyle w:val="Body0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Council </w:t>
            </w:r>
            <w:r w:rsidR="00FC3FC9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erformance</w:t>
            </w:r>
            <w:r w:rsidR="00175636" w:rsidRPr="00942A42">
              <w:rPr>
                <w:b/>
                <w:sz w:val="22"/>
                <w:szCs w:val="22"/>
              </w:rPr>
              <w:t xml:space="preserve"> on the </w:t>
            </w:r>
            <w:r w:rsidR="00FC3FC9">
              <w:rPr>
                <w:b/>
                <w:sz w:val="22"/>
                <w:szCs w:val="22"/>
              </w:rPr>
              <w:t>C</w:t>
            </w:r>
            <w:r w:rsidR="00175636" w:rsidRPr="00942A42">
              <w:rPr>
                <w:b/>
                <w:sz w:val="22"/>
                <w:szCs w:val="22"/>
              </w:rPr>
              <w:t xml:space="preserve">ondition of </w:t>
            </w:r>
            <w:r w:rsidR="00FC3FC9">
              <w:rPr>
                <w:b/>
                <w:sz w:val="22"/>
                <w:szCs w:val="22"/>
              </w:rPr>
              <w:t>S</w:t>
            </w:r>
            <w:r w:rsidR="00175636" w:rsidRPr="00942A42">
              <w:rPr>
                <w:b/>
                <w:sz w:val="22"/>
                <w:szCs w:val="22"/>
              </w:rPr>
              <w:t xml:space="preserve">ealed </w:t>
            </w:r>
            <w:r w:rsidR="00FC3FC9">
              <w:rPr>
                <w:b/>
                <w:sz w:val="22"/>
                <w:szCs w:val="22"/>
              </w:rPr>
              <w:t>L</w:t>
            </w:r>
            <w:r w:rsidR="00175636" w:rsidRPr="00942A42">
              <w:rPr>
                <w:b/>
                <w:sz w:val="22"/>
                <w:szCs w:val="22"/>
              </w:rPr>
              <w:t xml:space="preserve">ocal </w:t>
            </w:r>
            <w:r w:rsidR="00FC3FC9">
              <w:rPr>
                <w:b/>
                <w:sz w:val="22"/>
                <w:szCs w:val="22"/>
              </w:rPr>
              <w:t>R</w:t>
            </w:r>
            <w:r w:rsidR="00175636" w:rsidRPr="00942A42">
              <w:rPr>
                <w:b/>
                <w:sz w:val="22"/>
                <w:szCs w:val="22"/>
              </w:rPr>
              <w:t>oads, 2014/15 and 2015/16</w:t>
            </w:r>
            <w:r w:rsidR="00175636" w:rsidRPr="00942A42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</w:tr>
      <w:tr w:rsidR="00C628FA" w:rsidRPr="00942A42" w:rsidTr="006E44D5">
        <w:tc>
          <w:tcPr>
            <w:tcW w:w="6426" w:type="dxa"/>
          </w:tcPr>
          <w:p w:rsidR="00C628FA" w:rsidRPr="00942A42" w:rsidRDefault="00C628FA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D78BD79" wp14:editId="4C09C311">
                  <wp:extent cx="3788229" cy="2363190"/>
                  <wp:effectExtent l="0" t="0" r="317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C73356" w:rsidRPr="00942A42" w:rsidRDefault="00C73356" w:rsidP="00C723DB">
            <w:pPr>
              <w:pStyle w:val="Body01"/>
              <w:rPr>
                <w:sz w:val="22"/>
                <w:szCs w:val="22"/>
              </w:rPr>
            </w:pPr>
          </w:p>
          <w:p w:rsidR="006E44D5" w:rsidRPr="00942A42" w:rsidRDefault="006E44D5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b/>
                <w:sz w:val="22"/>
                <w:szCs w:val="22"/>
              </w:rPr>
              <w:t xml:space="preserve">Community satisfaction </w:t>
            </w:r>
            <w:r w:rsidR="00476EDC" w:rsidRPr="00942A42">
              <w:rPr>
                <w:b/>
                <w:sz w:val="22"/>
                <w:szCs w:val="22"/>
              </w:rPr>
              <w:t xml:space="preserve">with </w:t>
            </w:r>
            <w:r w:rsidRPr="00942A42">
              <w:rPr>
                <w:b/>
                <w:sz w:val="22"/>
                <w:szCs w:val="22"/>
              </w:rPr>
              <w:t>the condition of sealed local roads was higher in Wyndham</w:t>
            </w:r>
            <w:r w:rsidRPr="00942A42">
              <w:rPr>
                <w:sz w:val="22"/>
                <w:szCs w:val="22"/>
              </w:rPr>
              <w:t xml:space="preserve"> than on average, all other Councils across Victoria. </w:t>
            </w:r>
          </w:p>
          <w:p w:rsidR="00C628FA" w:rsidRPr="00942A42" w:rsidRDefault="00C73356" w:rsidP="00476EDC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In 2015/16, the satisfaction rating in </w:t>
            </w:r>
            <w:r w:rsidRPr="00942A42">
              <w:rPr>
                <w:b/>
                <w:sz w:val="22"/>
                <w:szCs w:val="22"/>
              </w:rPr>
              <w:t xml:space="preserve">Wyndham </w:t>
            </w:r>
            <w:r w:rsidR="006E44D5" w:rsidRPr="00942A42">
              <w:rPr>
                <w:b/>
                <w:sz w:val="22"/>
                <w:szCs w:val="22"/>
              </w:rPr>
              <w:t>was</w:t>
            </w:r>
            <w:r w:rsidR="006E44D5" w:rsidRPr="00942A42">
              <w:rPr>
                <w:sz w:val="22"/>
                <w:szCs w:val="22"/>
              </w:rPr>
              <w:t xml:space="preserve"> </w:t>
            </w:r>
            <w:r w:rsidR="006E44D5" w:rsidRPr="00942A42">
              <w:rPr>
                <w:b/>
                <w:sz w:val="22"/>
                <w:szCs w:val="22"/>
              </w:rPr>
              <w:t>66</w:t>
            </w:r>
            <w:r w:rsidRPr="00942A42">
              <w:rPr>
                <w:b/>
                <w:sz w:val="22"/>
                <w:szCs w:val="22"/>
              </w:rPr>
              <w:t xml:space="preserve"> out of 100</w:t>
            </w:r>
            <w:r w:rsidRPr="00942A42">
              <w:rPr>
                <w:sz w:val="22"/>
                <w:szCs w:val="22"/>
              </w:rPr>
              <w:t xml:space="preserve">, compared to an average of </w:t>
            </w:r>
            <w:r w:rsidRPr="00942A42">
              <w:rPr>
                <w:b/>
                <w:sz w:val="22"/>
                <w:szCs w:val="22"/>
              </w:rPr>
              <w:t>56 out of 100 at other Councils in Victoria.</w:t>
            </w:r>
            <w:r w:rsidRPr="00942A42">
              <w:rPr>
                <w:sz w:val="22"/>
                <w:szCs w:val="22"/>
              </w:rPr>
              <w:t xml:space="preserve"> </w:t>
            </w:r>
          </w:p>
        </w:tc>
      </w:tr>
    </w:tbl>
    <w:p w:rsidR="000C2899" w:rsidRPr="00942A42" w:rsidRDefault="006E44D5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V</w:t>
      </w:r>
      <w:r w:rsidRPr="00942A42">
        <w:rPr>
          <w:b/>
          <w:sz w:val="22"/>
          <w:szCs w:val="22"/>
        </w:rPr>
        <w:t xml:space="preserve">arious </w:t>
      </w:r>
      <w:r w:rsidR="00FC3FC9">
        <w:rPr>
          <w:b/>
          <w:sz w:val="22"/>
          <w:szCs w:val="22"/>
        </w:rPr>
        <w:t>D</w:t>
      </w:r>
      <w:r w:rsidRPr="00942A42">
        <w:rPr>
          <w:b/>
          <w:sz w:val="22"/>
          <w:szCs w:val="22"/>
        </w:rPr>
        <w:t xml:space="preserve">welling </w:t>
      </w:r>
      <w:r w:rsidR="00FC3FC9">
        <w:rPr>
          <w:b/>
          <w:sz w:val="22"/>
          <w:szCs w:val="22"/>
        </w:rPr>
        <w:t>S</w:t>
      </w:r>
      <w:r w:rsidRPr="00942A42">
        <w:rPr>
          <w:b/>
          <w:sz w:val="22"/>
          <w:szCs w:val="22"/>
        </w:rPr>
        <w:t>tructures</w:t>
      </w:r>
      <w:r w:rsidR="007165E9" w:rsidRPr="00942A42">
        <w:rPr>
          <w:b/>
          <w:sz w:val="22"/>
          <w:szCs w:val="22"/>
        </w:rPr>
        <w:t>, 201</w:t>
      </w:r>
      <w:r w:rsidR="002004C2">
        <w:rPr>
          <w:b/>
          <w:sz w:val="22"/>
          <w:szCs w:val="22"/>
        </w:rPr>
        <w:t>6</w:t>
      </w:r>
      <w:r w:rsidR="007165E9" w:rsidRPr="00942A42">
        <w:rPr>
          <w:rStyle w:val="FootnoteReference"/>
          <w:b/>
          <w:sz w:val="22"/>
          <w:szCs w:val="22"/>
        </w:rPr>
        <w:foot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3357"/>
      </w:tblGrid>
      <w:tr w:rsidR="000C2899" w:rsidRPr="00942A42" w:rsidTr="00426E43">
        <w:tc>
          <w:tcPr>
            <w:tcW w:w="6816" w:type="dxa"/>
          </w:tcPr>
          <w:p w:rsidR="000C2899" w:rsidRPr="00942A42" w:rsidRDefault="00426E43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02D1CF" wp14:editId="2EEC6C37">
                  <wp:extent cx="4108862" cy="2375065"/>
                  <wp:effectExtent l="0" t="0" r="6350" b="635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302E97" w:rsidRPr="00942A42" w:rsidRDefault="00302E97" w:rsidP="00302E97">
            <w:pPr>
              <w:pStyle w:val="Body01"/>
              <w:rPr>
                <w:sz w:val="22"/>
                <w:szCs w:val="22"/>
              </w:rPr>
            </w:pPr>
          </w:p>
          <w:p w:rsidR="000C2899" w:rsidRPr="00942A42" w:rsidRDefault="00302E97" w:rsidP="00426E43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With a much </w:t>
            </w:r>
            <w:r w:rsidRPr="00942A42">
              <w:rPr>
                <w:b/>
                <w:sz w:val="22"/>
                <w:szCs w:val="22"/>
              </w:rPr>
              <w:t xml:space="preserve">higher percentage of separate houses </w:t>
            </w:r>
            <w:r w:rsidR="005A4096" w:rsidRPr="00942A42">
              <w:rPr>
                <w:b/>
                <w:sz w:val="22"/>
                <w:szCs w:val="22"/>
              </w:rPr>
              <w:t>(</w:t>
            </w:r>
            <w:r w:rsidR="00426E43">
              <w:rPr>
                <w:b/>
                <w:sz w:val="22"/>
                <w:szCs w:val="22"/>
              </w:rPr>
              <w:t>83</w:t>
            </w:r>
            <w:r w:rsidRPr="00942A42">
              <w:rPr>
                <w:b/>
                <w:sz w:val="22"/>
                <w:szCs w:val="22"/>
              </w:rPr>
              <w:t>%)</w:t>
            </w:r>
            <w:r w:rsidR="00426E43">
              <w:rPr>
                <w:b/>
                <w:sz w:val="22"/>
                <w:szCs w:val="22"/>
              </w:rPr>
              <w:t xml:space="preserve"> </w:t>
            </w:r>
            <w:r w:rsidRPr="00942A42">
              <w:rPr>
                <w:b/>
                <w:sz w:val="22"/>
                <w:szCs w:val="22"/>
              </w:rPr>
              <w:t>compared to Greater Melbourne (</w:t>
            </w:r>
            <w:r w:rsidR="00426E43">
              <w:rPr>
                <w:b/>
                <w:sz w:val="22"/>
                <w:szCs w:val="22"/>
              </w:rPr>
              <w:t>66</w:t>
            </w:r>
            <w:r w:rsidR="005A4096" w:rsidRPr="00942A42">
              <w:rPr>
                <w:b/>
                <w:sz w:val="22"/>
                <w:szCs w:val="22"/>
              </w:rPr>
              <w:t>%)</w:t>
            </w:r>
            <w:r w:rsidRPr="00942A42">
              <w:rPr>
                <w:b/>
                <w:sz w:val="22"/>
                <w:szCs w:val="22"/>
              </w:rPr>
              <w:t xml:space="preserve"> and Victoria (</w:t>
            </w:r>
            <w:r w:rsidR="00426E43">
              <w:rPr>
                <w:b/>
                <w:sz w:val="22"/>
                <w:szCs w:val="22"/>
              </w:rPr>
              <w:t>72</w:t>
            </w:r>
            <w:r w:rsidRPr="00942A42">
              <w:rPr>
                <w:b/>
                <w:sz w:val="22"/>
                <w:szCs w:val="22"/>
              </w:rPr>
              <w:t xml:space="preserve">%), </w:t>
            </w:r>
            <w:r w:rsidRPr="00942A42">
              <w:rPr>
                <w:sz w:val="22"/>
                <w:szCs w:val="22"/>
              </w:rPr>
              <w:t>there is signific</w:t>
            </w:r>
            <w:r w:rsidR="00426E43">
              <w:rPr>
                <w:sz w:val="22"/>
                <w:szCs w:val="22"/>
              </w:rPr>
              <w:t xml:space="preserve">antly less housing diversity </w:t>
            </w:r>
            <w:r w:rsidRPr="00942A42">
              <w:rPr>
                <w:sz w:val="22"/>
                <w:szCs w:val="22"/>
              </w:rPr>
              <w:t>in Wyndham.</w:t>
            </w:r>
          </w:p>
        </w:tc>
      </w:tr>
    </w:tbl>
    <w:p w:rsidR="000C2899" w:rsidRPr="00942A42" w:rsidRDefault="000C2899" w:rsidP="00C723DB">
      <w:pPr>
        <w:pStyle w:val="Body01"/>
        <w:rPr>
          <w:sz w:val="22"/>
          <w:szCs w:val="22"/>
        </w:rPr>
      </w:pPr>
    </w:p>
    <w:p w:rsidR="00FC3FC9" w:rsidRDefault="00FC3FC9" w:rsidP="00C723DB">
      <w:pPr>
        <w:pStyle w:val="Body01"/>
        <w:rPr>
          <w:color w:val="1F497D" w:themeColor="text2"/>
          <w:sz w:val="28"/>
          <w:szCs w:val="28"/>
        </w:rPr>
      </w:pPr>
    </w:p>
    <w:p w:rsidR="00FC3FC9" w:rsidRDefault="00FC3FC9" w:rsidP="00C723DB">
      <w:pPr>
        <w:pStyle w:val="Body01"/>
        <w:rPr>
          <w:color w:val="1F497D" w:themeColor="text2"/>
          <w:sz w:val="28"/>
          <w:szCs w:val="28"/>
        </w:rPr>
      </w:pPr>
    </w:p>
    <w:p w:rsidR="00134C17" w:rsidRPr="00134C17" w:rsidRDefault="00134C17" w:rsidP="00C723DB">
      <w:pPr>
        <w:pStyle w:val="Body01"/>
        <w:rPr>
          <w:color w:val="1F497D" w:themeColor="text2"/>
          <w:sz w:val="28"/>
          <w:szCs w:val="28"/>
        </w:rPr>
      </w:pPr>
      <w:r w:rsidRPr="00134C17">
        <w:rPr>
          <w:color w:val="1F497D" w:themeColor="text2"/>
          <w:sz w:val="28"/>
          <w:szCs w:val="28"/>
        </w:rPr>
        <w:lastRenderedPageBreak/>
        <w:t xml:space="preserve">Environment </w:t>
      </w:r>
    </w:p>
    <w:p w:rsidR="00E27C7E" w:rsidRPr="00942A42" w:rsidRDefault="00E27C7E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arbage, </w:t>
      </w:r>
      <w:r w:rsidR="00FC3FC9">
        <w:rPr>
          <w:b/>
          <w:sz w:val="22"/>
          <w:szCs w:val="22"/>
        </w:rPr>
        <w:t>R</w:t>
      </w:r>
      <w:r w:rsidRPr="00942A42">
        <w:rPr>
          <w:b/>
          <w:sz w:val="22"/>
          <w:szCs w:val="22"/>
        </w:rPr>
        <w:t xml:space="preserve">ecyclables and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reen </w:t>
      </w:r>
      <w:r w:rsidR="00FC3FC9">
        <w:rPr>
          <w:b/>
          <w:sz w:val="22"/>
          <w:szCs w:val="22"/>
        </w:rPr>
        <w:t>O</w:t>
      </w:r>
      <w:r w:rsidRPr="00942A42">
        <w:rPr>
          <w:b/>
          <w:sz w:val="22"/>
          <w:szCs w:val="22"/>
        </w:rPr>
        <w:t xml:space="preserve">rganics </w:t>
      </w:r>
      <w:r w:rsidR="00FC3FC9">
        <w:rPr>
          <w:b/>
          <w:sz w:val="22"/>
          <w:szCs w:val="22"/>
        </w:rPr>
        <w:t>C</w:t>
      </w:r>
      <w:r w:rsidRPr="00942A42">
        <w:rPr>
          <w:b/>
          <w:sz w:val="22"/>
          <w:szCs w:val="22"/>
        </w:rPr>
        <w:t xml:space="preserve">ollected </w:t>
      </w:r>
      <w:r w:rsidR="00971BD1">
        <w:rPr>
          <w:b/>
          <w:sz w:val="22"/>
          <w:szCs w:val="22"/>
        </w:rPr>
        <w:t>from</w:t>
      </w:r>
      <w:r w:rsidRPr="00942A42">
        <w:rPr>
          <w:b/>
          <w:sz w:val="22"/>
          <w:szCs w:val="22"/>
        </w:rPr>
        <w:t xml:space="preserve"> </w:t>
      </w:r>
      <w:r w:rsidR="00FC3FC9">
        <w:rPr>
          <w:b/>
          <w:sz w:val="22"/>
          <w:szCs w:val="22"/>
        </w:rPr>
        <w:t>K</w:t>
      </w:r>
      <w:r w:rsidRPr="00942A42">
        <w:rPr>
          <w:b/>
          <w:sz w:val="22"/>
          <w:szCs w:val="22"/>
        </w:rPr>
        <w:t xml:space="preserve">erbside </w:t>
      </w:r>
      <w:r w:rsidR="00FC3FC9">
        <w:rPr>
          <w:b/>
          <w:sz w:val="22"/>
          <w:szCs w:val="22"/>
        </w:rPr>
        <w:t>B</w:t>
      </w:r>
      <w:r w:rsidRPr="00942A42">
        <w:rPr>
          <w:b/>
          <w:sz w:val="22"/>
          <w:szCs w:val="22"/>
        </w:rPr>
        <w:t xml:space="preserve">ins that is </w:t>
      </w:r>
      <w:proofErr w:type="gramStart"/>
      <w:r w:rsidR="00FC3FC9">
        <w:rPr>
          <w:b/>
          <w:sz w:val="22"/>
          <w:szCs w:val="22"/>
        </w:rPr>
        <w:t>D</w:t>
      </w:r>
      <w:r w:rsidRPr="00942A42">
        <w:rPr>
          <w:b/>
          <w:sz w:val="22"/>
          <w:szCs w:val="22"/>
        </w:rPr>
        <w:t>iverted</w:t>
      </w:r>
      <w:proofErr w:type="gramEnd"/>
      <w:r w:rsidRPr="00942A42">
        <w:rPr>
          <w:b/>
          <w:sz w:val="22"/>
          <w:szCs w:val="22"/>
        </w:rPr>
        <w:t xml:space="preserve"> </w:t>
      </w:r>
      <w:r w:rsidR="00805471">
        <w:rPr>
          <w:b/>
          <w:sz w:val="22"/>
          <w:szCs w:val="22"/>
        </w:rPr>
        <w:t>f</w:t>
      </w:r>
      <w:r w:rsidRPr="00942A42">
        <w:rPr>
          <w:b/>
          <w:sz w:val="22"/>
          <w:szCs w:val="22"/>
        </w:rPr>
        <w:t xml:space="preserve">rom </w:t>
      </w:r>
      <w:r w:rsidR="00FC3FC9">
        <w:rPr>
          <w:b/>
          <w:sz w:val="22"/>
          <w:szCs w:val="22"/>
        </w:rPr>
        <w:t>L</w:t>
      </w:r>
      <w:r w:rsidRPr="00942A42">
        <w:rPr>
          <w:b/>
          <w:sz w:val="22"/>
          <w:szCs w:val="22"/>
        </w:rPr>
        <w:t>andfill</w:t>
      </w:r>
      <w:r w:rsidR="005A4096" w:rsidRPr="00942A42">
        <w:rPr>
          <w:b/>
          <w:sz w:val="22"/>
          <w:szCs w:val="22"/>
        </w:rPr>
        <w:t>, 2014/15 to 2015/16</w:t>
      </w:r>
      <w:r w:rsidR="005A4096" w:rsidRPr="00942A42">
        <w:rPr>
          <w:rStyle w:val="FootnoteReference"/>
          <w:b/>
          <w:sz w:val="22"/>
          <w:szCs w:val="22"/>
        </w:rPr>
        <w:footnoteReference w:id="3"/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390"/>
      </w:tblGrid>
      <w:tr w:rsidR="00E27C7E" w:rsidRPr="00942A42" w:rsidTr="0015279E">
        <w:tc>
          <w:tcPr>
            <w:tcW w:w="6066" w:type="dxa"/>
          </w:tcPr>
          <w:p w:rsidR="00E27C7E" w:rsidRPr="00942A42" w:rsidRDefault="00E27C7E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1F5CF64" wp14:editId="2E221E86">
                  <wp:extent cx="3705101" cy="2256311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604F89" w:rsidRPr="003B24DA" w:rsidRDefault="00B521FC" w:rsidP="00E346EF">
            <w:pPr>
              <w:pStyle w:val="Body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lower proportion of</w:t>
            </w:r>
            <w:r w:rsidR="00604F89" w:rsidRPr="003B24DA">
              <w:rPr>
                <w:b/>
                <w:sz w:val="22"/>
                <w:szCs w:val="22"/>
              </w:rPr>
              <w:t xml:space="preserve"> waste from kerbside bins in Wyndham is diverted from landfill compared to other areas across Victoria.</w:t>
            </w:r>
          </w:p>
          <w:p w:rsidR="00604F89" w:rsidRPr="00942A42" w:rsidRDefault="00E346EF" w:rsidP="00E346EF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On average, nearly half of all waste collected from kerbside bins in Council areas similar to Wyndham is diverted from landfill, while </w:t>
            </w:r>
            <w:r w:rsidRPr="003B24DA">
              <w:rPr>
                <w:b/>
                <w:sz w:val="22"/>
                <w:szCs w:val="22"/>
              </w:rPr>
              <w:t>only 37% of waste is diverted from Wyndham bins.</w:t>
            </w:r>
          </w:p>
          <w:p w:rsidR="00E27C7E" w:rsidRPr="003B24DA" w:rsidRDefault="003C2FDC" w:rsidP="00E346EF">
            <w:pPr>
              <w:pStyle w:val="Body01"/>
              <w:rPr>
                <w:b/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>Furthermore, t</w:t>
            </w:r>
            <w:r w:rsidR="00604F89" w:rsidRPr="00942A42">
              <w:rPr>
                <w:sz w:val="22"/>
                <w:szCs w:val="22"/>
              </w:rPr>
              <w:t xml:space="preserve">he </w:t>
            </w:r>
            <w:r w:rsidR="00604F89" w:rsidRPr="003B24DA">
              <w:rPr>
                <w:b/>
                <w:sz w:val="22"/>
                <w:szCs w:val="22"/>
              </w:rPr>
              <w:t xml:space="preserve">average proportion of diverted waste across all Victorian Councils is greater than the amount diverted in Wyndham. </w:t>
            </w:r>
            <w:r w:rsidR="00E346EF" w:rsidRPr="003B24DA">
              <w:rPr>
                <w:b/>
                <w:sz w:val="22"/>
                <w:szCs w:val="22"/>
              </w:rPr>
              <w:t xml:space="preserve"> </w:t>
            </w:r>
          </w:p>
          <w:p w:rsidR="00E346EF" w:rsidRPr="00942A42" w:rsidRDefault="00E346EF" w:rsidP="00E346EF">
            <w:pPr>
              <w:pStyle w:val="Body01"/>
              <w:rPr>
                <w:sz w:val="22"/>
                <w:szCs w:val="22"/>
              </w:rPr>
            </w:pPr>
          </w:p>
        </w:tc>
      </w:tr>
    </w:tbl>
    <w:p w:rsidR="00DA7C5F" w:rsidRPr="00942A42" w:rsidRDefault="00DA7C5F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Council's </w:t>
      </w:r>
      <w:r w:rsidR="00FC3FC9">
        <w:rPr>
          <w:b/>
          <w:sz w:val="22"/>
          <w:szCs w:val="22"/>
        </w:rPr>
        <w:t>A</w:t>
      </w:r>
      <w:r w:rsidRPr="00942A42">
        <w:rPr>
          <w:b/>
          <w:sz w:val="22"/>
          <w:szCs w:val="22"/>
        </w:rPr>
        <w:t xml:space="preserve">nnual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reenhouse </w:t>
      </w:r>
      <w:r w:rsidR="00FC3FC9">
        <w:rPr>
          <w:b/>
          <w:sz w:val="22"/>
          <w:szCs w:val="22"/>
        </w:rPr>
        <w:t>G</w:t>
      </w:r>
      <w:r w:rsidRPr="00942A42">
        <w:rPr>
          <w:b/>
          <w:sz w:val="22"/>
          <w:szCs w:val="22"/>
        </w:rPr>
        <w:t xml:space="preserve">as </w:t>
      </w:r>
      <w:r w:rsidR="00FC3FC9">
        <w:rPr>
          <w:b/>
          <w:sz w:val="22"/>
          <w:szCs w:val="22"/>
        </w:rPr>
        <w:t>E</w:t>
      </w:r>
      <w:r w:rsidRPr="00942A42">
        <w:rPr>
          <w:b/>
          <w:sz w:val="22"/>
          <w:szCs w:val="22"/>
        </w:rPr>
        <w:t>missions (</w:t>
      </w:r>
      <w:proofErr w:type="spellStart"/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>onnes</w:t>
      </w:r>
      <w:proofErr w:type="spellEnd"/>
      <w:r w:rsidRPr="00942A42">
        <w:rPr>
          <w:b/>
          <w:sz w:val="22"/>
          <w:szCs w:val="22"/>
        </w:rPr>
        <w:t xml:space="preserve"> CO2)</w:t>
      </w:r>
      <w:r w:rsidR="00FC3FC9">
        <w:rPr>
          <w:b/>
          <w:sz w:val="22"/>
          <w:szCs w:val="22"/>
        </w:rPr>
        <w:t>, 201</w:t>
      </w:r>
      <w:r w:rsidR="001761EB">
        <w:rPr>
          <w:b/>
          <w:sz w:val="22"/>
          <w:szCs w:val="22"/>
        </w:rPr>
        <w:t>4</w:t>
      </w:r>
      <w:r w:rsidR="00FC3FC9">
        <w:rPr>
          <w:b/>
          <w:sz w:val="22"/>
          <w:szCs w:val="22"/>
        </w:rPr>
        <w:t>/1</w:t>
      </w:r>
      <w:r w:rsidR="001761EB">
        <w:rPr>
          <w:b/>
          <w:sz w:val="22"/>
          <w:szCs w:val="22"/>
        </w:rPr>
        <w:t>5</w:t>
      </w:r>
      <w:r w:rsidR="00FC3FC9">
        <w:rPr>
          <w:b/>
          <w:sz w:val="22"/>
          <w:szCs w:val="22"/>
        </w:rPr>
        <w:t xml:space="preserve"> to 201</w:t>
      </w:r>
      <w:r w:rsidR="001761EB">
        <w:rPr>
          <w:b/>
          <w:sz w:val="22"/>
          <w:szCs w:val="22"/>
        </w:rPr>
        <w:t>6</w:t>
      </w:r>
      <w:r w:rsidR="00FC3FC9">
        <w:rPr>
          <w:b/>
          <w:sz w:val="22"/>
          <w:szCs w:val="22"/>
        </w:rPr>
        <w:t>/1</w:t>
      </w:r>
      <w:r w:rsidR="001761EB">
        <w:rPr>
          <w:b/>
          <w:sz w:val="22"/>
          <w:szCs w:val="22"/>
        </w:rPr>
        <w:t>7</w:t>
      </w:r>
      <w:r w:rsidR="00074BED" w:rsidRPr="00942A42">
        <w:rPr>
          <w:rStyle w:val="FootnoteReference"/>
          <w:b/>
          <w:sz w:val="22"/>
          <w:szCs w:val="22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A7C5F" w:rsidRPr="00942A42" w:rsidTr="00A46E01">
        <w:tc>
          <w:tcPr>
            <w:tcW w:w="10314" w:type="dxa"/>
          </w:tcPr>
          <w:p w:rsidR="00DA7C5F" w:rsidRPr="00942A42" w:rsidRDefault="00A46E01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197710" wp14:editId="2C1C50BC">
                  <wp:extent cx="6258296" cy="2755076"/>
                  <wp:effectExtent l="0" t="0" r="0" b="762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A7C5F" w:rsidRPr="00942A42" w:rsidTr="00942A42">
        <w:tc>
          <w:tcPr>
            <w:tcW w:w="10314" w:type="dxa"/>
          </w:tcPr>
          <w:p w:rsidR="00705AF6" w:rsidRDefault="00CD062F" w:rsidP="00705AF6">
            <w:r w:rsidRPr="00942A42">
              <w:rPr>
                <w:b/>
              </w:rPr>
              <w:t>Wyndham Council’s annual greenhouse ga</w:t>
            </w:r>
            <w:r w:rsidR="001761EB">
              <w:rPr>
                <w:b/>
              </w:rPr>
              <w:t>s emissions have been steadily de</w:t>
            </w:r>
            <w:r w:rsidRPr="00942A42">
              <w:rPr>
                <w:b/>
              </w:rPr>
              <w:t>creasing since 201</w:t>
            </w:r>
            <w:r w:rsidR="001761EB">
              <w:rPr>
                <w:b/>
              </w:rPr>
              <w:t>4</w:t>
            </w:r>
            <w:r w:rsidRPr="00942A42">
              <w:rPr>
                <w:b/>
              </w:rPr>
              <w:t>/</w:t>
            </w:r>
            <w:r w:rsidR="00A46E01" w:rsidRPr="00942A42">
              <w:rPr>
                <w:b/>
              </w:rPr>
              <w:t>1</w:t>
            </w:r>
            <w:r w:rsidR="00A46E01">
              <w:rPr>
                <w:b/>
              </w:rPr>
              <w:t xml:space="preserve">5 </w:t>
            </w:r>
            <w:r w:rsidR="00A46E01">
              <w:t xml:space="preserve">and are currently below 2013/14 levels. </w:t>
            </w:r>
            <w:r w:rsidR="00705AF6">
              <w:t>Even though Council experienced significant growth, greenhouse gas emissions from Wyndham City Council’s operations decreased by 8% or 2,069 tonnes in 2016/2017.  This has been achieved mainly through the bulk changeover to energy efficient streetlights. This reflects Council’s resolve to realise its 2020 greenhouse reduction target of 12%.</w:t>
            </w:r>
          </w:p>
          <w:p w:rsidR="00DA7C5F" w:rsidRPr="00A46E01" w:rsidRDefault="00DA7C5F" w:rsidP="001761EB">
            <w:pPr>
              <w:pStyle w:val="Body01"/>
              <w:rPr>
                <w:sz w:val="22"/>
                <w:szCs w:val="22"/>
              </w:rPr>
            </w:pPr>
          </w:p>
        </w:tc>
      </w:tr>
    </w:tbl>
    <w:p w:rsidR="003B24DA" w:rsidRDefault="003B24DA" w:rsidP="00C723DB">
      <w:pPr>
        <w:pStyle w:val="Body01"/>
        <w:rPr>
          <w:sz w:val="22"/>
          <w:szCs w:val="22"/>
        </w:rPr>
      </w:pPr>
    </w:p>
    <w:p w:rsidR="00132DDA" w:rsidRDefault="00132DDA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3B24DA" w:rsidRDefault="003B24DA" w:rsidP="00C723DB">
      <w:pPr>
        <w:pStyle w:val="Body01"/>
        <w:rPr>
          <w:sz w:val="22"/>
          <w:szCs w:val="22"/>
        </w:rPr>
      </w:pPr>
    </w:p>
    <w:p w:rsidR="00B521FC" w:rsidRDefault="00B521FC" w:rsidP="00C723DB">
      <w:pPr>
        <w:pStyle w:val="Body01"/>
        <w:rPr>
          <w:sz w:val="22"/>
          <w:szCs w:val="22"/>
        </w:rPr>
      </w:pPr>
    </w:p>
    <w:p w:rsidR="00DA7C5F" w:rsidRPr="00942A42" w:rsidRDefault="003C2FDC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lastRenderedPageBreak/>
        <w:t xml:space="preserve">Percentage of LGA with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ree </w:t>
      </w:r>
      <w:r w:rsidR="00FC3FC9">
        <w:rPr>
          <w:b/>
          <w:sz w:val="22"/>
          <w:szCs w:val="22"/>
        </w:rPr>
        <w:t>C</w:t>
      </w:r>
      <w:r w:rsidRPr="00942A42">
        <w:rPr>
          <w:b/>
          <w:sz w:val="22"/>
          <w:szCs w:val="22"/>
        </w:rPr>
        <w:t>anopy</w:t>
      </w:r>
      <w:r w:rsidR="00FC3FC9">
        <w:rPr>
          <w:b/>
          <w:sz w:val="22"/>
          <w:szCs w:val="22"/>
        </w:rPr>
        <w:t>, 2015</w:t>
      </w:r>
      <w:r w:rsidRPr="00942A42">
        <w:rPr>
          <w:rStyle w:val="FootnoteReference"/>
          <w:b/>
          <w:sz w:val="22"/>
          <w:szCs w:val="22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A7C5F" w:rsidRPr="00942A42" w:rsidTr="00942A42">
        <w:tc>
          <w:tcPr>
            <w:tcW w:w="10414" w:type="dxa"/>
          </w:tcPr>
          <w:p w:rsidR="00DA7C5F" w:rsidRPr="00942A42" w:rsidRDefault="00DA7C5F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5844F893" wp14:editId="69010EF8">
                  <wp:extent cx="6460177" cy="274320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A7C5F" w:rsidRPr="00942A42" w:rsidTr="00942A42">
        <w:tc>
          <w:tcPr>
            <w:tcW w:w="10414" w:type="dxa"/>
          </w:tcPr>
          <w:p w:rsidR="00DA7C5F" w:rsidRPr="00942A42" w:rsidRDefault="001E33C6" w:rsidP="00155ECA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According to the Institute for </w:t>
            </w:r>
            <w:r w:rsidR="003C2FDC" w:rsidRPr="00942A42">
              <w:rPr>
                <w:sz w:val="22"/>
                <w:szCs w:val="22"/>
              </w:rPr>
              <w:t>S</w:t>
            </w:r>
            <w:r w:rsidRPr="00942A42">
              <w:rPr>
                <w:sz w:val="22"/>
                <w:szCs w:val="22"/>
              </w:rPr>
              <w:t xml:space="preserve">ustainable </w:t>
            </w:r>
            <w:r w:rsidR="003C2FDC" w:rsidRPr="00942A42">
              <w:rPr>
                <w:sz w:val="22"/>
                <w:szCs w:val="22"/>
              </w:rPr>
              <w:t>F</w:t>
            </w:r>
            <w:r w:rsidRPr="00942A42">
              <w:rPr>
                <w:sz w:val="22"/>
                <w:szCs w:val="22"/>
              </w:rPr>
              <w:t>utures</w:t>
            </w:r>
            <w:r w:rsidR="00B521FC">
              <w:rPr>
                <w:sz w:val="22"/>
                <w:szCs w:val="22"/>
              </w:rPr>
              <w:t xml:space="preserve"> (ISF)</w:t>
            </w:r>
            <w:r w:rsidRPr="00942A42">
              <w:rPr>
                <w:sz w:val="22"/>
                <w:szCs w:val="22"/>
              </w:rPr>
              <w:t xml:space="preserve">, </w:t>
            </w:r>
            <w:r w:rsidRPr="00942A42">
              <w:rPr>
                <w:b/>
                <w:sz w:val="22"/>
                <w:szCs w:val="22"/>
              </w:rPr>
              <w:t>the City of Wyndham has the greatest potential for increased tree canopy cover</w:t>
            </w:r>
            <w:r w:rsidR="003C2FDC" w:rsidRPr="00942A42">
              <w:rPr>
                <w:b/>
                <w:sz w:val="22"/>
                <w:szCs w:val="22"/>
              </w:rPr>
              <w:t>age</w:t>
            </w:r>
            <w:r w:rsidRPr="00942A42">
              <w:rPr>
                <w:b/>
                <w:sz w:val="22"/>
                <w:szCs w:val="22"/>
              </w:rPr>
              <w:t xml:space="preserve"> due to </w:t>
            </w:r>
            <w:r w:rsidR="004B2DF3" w:rsidRPr="00942A42">
              <w:rPr>
                <w:b/>
                <w:sz w:val="22"/>
                <w:szCs w:val="22"/>
              </w:rPr>
              <w:t>its</w:t>
            </w:r>
            <w:r w:rsidRPr="00942A42">
              <w:rPr>
                <w:b/>
                <w:sz w:val="22"/>
                <w:szCs w:val="22"/>
              </w:rPr>
              <w:t xml:space="preserve"> large expanses of grass-</w:t>
            </w:r>
            <w:r w:rsidR="00155ECA">
              <w:rPr>
                <w:b/>
                <w:sz w:val="22"/>
                <w:szCs w:val="22"/>
              </w:rPr>
              <w:t>b</w:t>
            </w:r>
            <w:r w:rsidRPr="00942A42">
              <w:rPr>
                <w:b/>
                <w:sz w:val="22"/>
                <w:szCs w:val="22"/>
              </w:rPr>
              <w:t>are ground cover</w:t>
            </w:r>
            <w:r w:rsidRPr="00942A42">
              <w:rPr>
                <w:sz w:val="22"/>
                <w:szCs w:val="22"/>
              </w:rPr>
              <w:t xml:space="preserve">. </w:t>
            </w:r>
            <w:r w:rsidR="004B2DF3" w:rsidRPr="00942A42">
              <w:rPr>
                <w:sz w:val="22"/>
                <w:szCs w:val="22"/>
              </w:rPr>
              <w:t xml:space="preserve">In their 2015 report, the ISF determined that approximately 3.1% of the area of Wyndham was covered by tree canopy. Compared to other growth areas, such as </w:t>
            </w:r>
            <w:proofErr w:type="spellStart"/>
            <w:r w:rsidR="004B2DF3" w:rsidRPr="00942A42">
              <w:rPr>
                <w:sz w:val="22"/>
                <w:szCs w:val="22"/>
              </w:rPr>
              <w:t>Cardinia</w:t>
            </w:r>
            <w:proofErr w:type="spellEnd"/>
            <w:r w:rsidR="004B2DF3" w:rsidRPr="00942A42">
              <w:rPr>
                <w:sz w:val="22"/>
                <w:szCs w:val="22"/>
              </w:rPr>
              <w:t xml:space="preserve"> (32%) and Whittlesea (19</w:t>
            </w:r>
            <w:r w:rsidR="004B2DF3" w:rsidRPr="00942A42">
              <w:rPr>
                <w:b/>
                <w:sz w:val="22"/>
                <w:szCs w:val="22"/>
              </w:rPr>
              <w:t>%</w:t>
            </w:r>
            <w:r w:rsidR="004B2DF3" w:rsidRPr="00942A42">
              <w:rPr>
                <w:sz w:val="22"/>
                <w:szCs w:val="22"/>
              </w:rPr>
              <w:t>),</w:t>
            </w:r>
            <w:r w:rsidR="004B2DF3" w:rsidRPr="00942A42">
              <w:rPr>
                <w:b/>
                <w:sz w:val="22"/>
                <w:szCs w:val="22"/>
              </w:rPr>
              <w:t xml:space="preserve"> there is significantly less tree canopy coverage in Wyndham.</w:t>
            </w:r>
            <w:r w:rsidR="004B2DF3" w:rsidRPr="00942A42">
              <w:rPr>
                <w:sz w:val="22"/>
                <w:szCs w:val="22"/>
              </w:rPr>
              <w:t xml:space="preserve"> </w:t>
            </w:r>
          </w:p>
        </w:tc>
      </w:tr>
    </w:tbl>
    <w:p w:rsidR="00DA7C5F" w:rsidRPr="00134C17" w:rsidRDefault="00134C17" w:rsidP="00C723DB">
      <w:pPr>
        <w:pStyle w:val="Body01"/>
        <w:rPr>
          <w:color w:val="1F497D" w:themeColor="text2"/>
          <w:sz w:val="28"/>
          <w:szCs w:val="28"/>
        </w:rPr>
      </w:pPr>
      <w:r w:rsidRPr="00134C17">
        <w:rPr>
          <w:color w:val="1F497D" w:themeColor="text2"/>
          <w:sz w:val="28"/>
          <w:szCs w:val="28"/>
        </w:rPr>
        <w:t>Commuting</w:t>
      </w:r>
    </w:p>
    <w:p w:rsidR="00DA7C5F" w:rsidRPr="00942A42" w:rsidRDefault="00942A42" w:rsidP="00C723DB">
      <w:pPr>
        <w:pStyle w:val="Body01"/>
        <w:rPr>
          <w:b/>
          <w:sz w:val="22"/>
          <w:szCs w:val="22"/>
        </w:rPr>
      </w:pPr>
      <w:r w:rsidRPr="00942A42">
        <w:rPr>
          <w:b/>
          <w:sz w:val="22"/>
          <w:szCs w:val="22"/>
        </w:rPr>
        <w:t xml:space="preserve">Proportion of Wyndham </w:t>
      </w:r>
      <w:r w:rsidR="00FC3FC9">
        <w:rPr>
          <w:b/>
          <w:sz w:val="22"/>
          <w:szCs w:val="22"/>
        </w:rPr>
        <w:t>R</w:t>
      </w:r>
      <w:r w:rsidRPr="00942A42">
        <w:rPr>
          <w:b/>
          <w:sz w:val="22"/>
          <w:szCs w:val="22"/>
        </w:rPr>
        <w:t xml:space="preserve">esidents who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ake 90 </w:t>
      </w:r>
      <w:r w:rsidR="00FC3FC9">
        <w:rPr>
          <w:b/>
          <w:sz w:val="22"/>
          <w:szCs w:val="22"/>
        </w:rPr>
        <w:t>M</w:t>
      </w:r>
      <w:r w:rsidRPr="00942A42">
        <w:rPr>
          <w:b/>
          <w:sz w:val="22"/>
          <w:szCs w:val="22"/>
        </w:rPr>
        <w:t xml:space="preserve">inutes or </w:t>
      </w:r>
      <w:r w:rsidR="00FC3FC9">
        <w:rPr>
          <w:b/>
          <w:sz w:val="22"/>
          <w:szCs w:val="22"/>
        </w:rPr>
        <w:t>M</w:t>
      </w:r>
      <w:r w:rsidRPr="00942A42">
        <w:rPr>
          <w:b/>
          <w:sz w:val="22"/>
          <w:szCs w:val="22"/>
        </w:rPr>
        <w:t xml:space="preserve">ore to </w:t>
      </w:r>
      <w:r w:rsidR="00FC3FC9">
        <w:rPr>
          <w:b/>
          <w:sz w:val="22"/>
          <w:szCs w:val="22"/>
        </w:rPr>
        <w:t>T</w:t>
      </w:r>
      <w:r w:rsidRPr="00942A42">
        <w:rPr>
          <w:b/>
          <w:sz w:val="22"/>
          <w:szCs w:val="22"/>
        </w:rPr>
        <w:t xml:space="preserve">ravel to and </w:t>
      </w:r>
      <w:r w:rsidR="00FC3FC9">
        <w:rPr>
          <w:b/>
          <w:sz w:val="22"/>
          <w:szCs w:val="22"/>
        </w:rPr>
        <w:t>F</w:t>
      </w:r>
      <w:r w:rsidRPr="00942A42">
        <w:rPr>
          <w:b/>
          <w:sz w:val="22"/>
          <w:szCs w:val="22"/>
        </w:rPr>
        <w:t xml:space="preserve">rom </w:t>
      </w:r>
      <w:r w:rsidR="00FC3FC9">
        <w:rPr>
          <w:b/>
          <w:sz w:val="22"/>
          <w:szCs w:val="22"/>
        </w:rPr>
        <w:t>W</w:t>
      </w:r>
      <w:r w:rsidRPr="00942A42">
        <w:rPr>
          <w:b/>
          <w:sz w:val="22"/>
          <w:szCs w:val="22"/>
        </w:rPr>
        <w:t>ork</w:t>
      </w:r>
      <w:r w:rsidR="00FC3FC9">
        <w:rPr>
          <w:b/>
          <w:sz w:val="22"/>
          <w:szCs w:val="22"/>
        </w:rPr>
        <w:t>, 2014 to 2016</w:t>
      </w:r>
      <w:r>
        <w:rPr>
          <w:rStyle w:val="FootnoteReference"/>
          <w:b/>
          <w:sz w:val="22"/>
          <w:szCs w:val="22"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6"/>
        <w:gridCol w:w="2938"/>
      </w:tblGrid>
      <w:tr w:rsidR="00104135" w:rsidRPr="00942A42" w:rsidTr="00104135">
        <w:tc>
          <w:tcPr>
            <w:tcW w:w="6936" w:type="dxa"/>
          </w:tcPr>
          <w:p w:rsidR="00104135" w:rsidRPr="00942A42" w:rsidRDefault="00104135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35D1AA27" wp14:editId="47796459">
                  <wp:extent cx="4607626" cy="2636322"/>
                  <wp:effectExtent l="0" t="0" r="254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890EF4" w:rsidRDefault="00253453" w:rsidP="00890EF4">
            <w:pPr>
              <w:pStyle w:val="Body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04135" w:rsidRPr="00942A42">
              <w:rPr>
                <w:sz w:val="22"/>
                <w:szCs w:val="22"/>
              </w:rPr>
              <w:t xml:space="preserve">he </w:t>
            </w:r>
            <w:r w:rsidR="00104135" w:rsidRPr="003810AA">
              <w:rPr>
                <w:b/>
                <w:sz w:val="22"/>
                <w:szCs w:val="22"/>
              </w:rPr>
              <w:t>proportion of Wyndham workers travelling 90 minutes or more to and from work increased</w:t>
            </w:r>
            <w:r w:rsidR="00104135" w:rsidRPr="00942A42">
              <w:rPr>
                <w:sz w:val="22"/>
                <w:szCs w:val="22"/>
              </w:rPr>
              <w:t xml:space="preserve"> significantly</w:t>
            </w:r>
            <w:r>
              <w:rPr>
                <w:sz w:val="22"/>
                <w:szCs w:val="22"/>
              </w:rPr>
              <w:t xml:space="preserve"> between 2015 and 2016</w:t>
            </w:r>
            <w:r w:rsidR="00104135" w:rsidRPr="00942A42">
              <w:rPr>
                <w:sz w:val="22"/>
                <w:szCs w:val="22"/>
              </w:rPr>
              <w:t xml:space="preserve">. </w:t>
            </w:r>
          </w:p>
          <w:p w:rsidR="00104135" w:rsidRPr="00942A42" w:rsidRDefault="00104135" w:rsidP="004C4351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In 2015, </w:t>
            </w:r>
            <w:r w:rsidRPr="003810AA">
              <w:rPr>
                <w:b/>
                <w:sz w:val="22"/>
                <w:szCs w:val="22"/>
              </w:rPr>
              <w:t xml:space="preserve">15% of </w:t>
            </w:r>
            <w:r w:rsidR="00890EF4" w:rsidRPr="003810AA">
              <w:rPr>
                <w:b/>
                <w:sz w:val="22"/>
                <w:szCs w:val="22"/>
              </w:rPr>
              <w:t xml:space="preserve">Wyndham </w:t>
            </w:r>
            <w:r w:rsidRPr="003810AA">
              <w:rPr>
                <w:b/>
                <w:sz w:val="22"/>
                <w:szCs w:val="22"/>
              </w:rPr>
              <w:t>households</w:t>
            </w:r>
            <w:r w:rsidRPr="00942A42">
              <w:rPr>
                <w:sz w:val="22"/>
                <w:szCs w:val="22"/>
              </w:rPr>
              <w:t xml:space="preserve"> reported</w:t>
            </w:r>
            <w:r w:rsidR="00890EF4">
              <w:rPr>
                <w:sz w:val="22"/>
                <w:szCs w:val="22"/>
              </w:rPr>
              <w:t xml:space="preserve"> that</w:t>
            </w:r>
            <w:r w:rsidRPr="00942A42">
              <w:rPr>
                <w:sz w:val="22"/>
                <w:szCs w:val="22"/>
              </w:rPr>
              <w:t xml:space="preserve"> at least 1 member of the household trave</w:t>
            </w:r>
            <w:r w:rsidR="00890EF4">
              <w:rPr>
                <w:sz w:val="22"/>
                <w:szCs w:val="22"/>
              </w:rPr>
              <w:t>l</w:t>
            </w:r>
            <w:r w:rsidRPr="00942A42">
              <w:rPr>
                <w:sz w:val="22"/>
                <w:szCs w:val="22"/>
              </w:rPr>
              <w:t>l</w:t>
            </w:r>
            <w:r w:rsidR="00890EF4">
              <w:rPr>
                <w:sz w:val="22"/>
                <w:szCs w:val="22"/>
              </w:rPr>
              <w:t>ed</w:t>
            </w:r>
            <w:r w:rsidRPr="00942A42">
              <w:rPr>
                <w:sz w:val="22"/>
                <w:szCs w:val="22"/>
              </w:rPr>
              <w:t xml:space="preserve"> 90+ minutes to </w:t>
            </w:r>
            <w:r w:rsidR="00890EF4">
              <w:rPr>
                <w:sz w:val="22"/>
                <w:szCs w:val="22"/>
              </w:rPr>
              <w:t xml:space="preserve">and from </w:t>
            </w:r>
            <w:r w:rsidRPr="00942A42">
              <w:rPr>
                <w:sz w:val="22"/>
                <w:szCs w:val="22"/>
              </w:rPr>
              <w:t>wor</w:t>
            </w:r>
            <w:r w:rsidR="00890EF4">
              <w:rPr>
                <w:sz w:val="22"/>
                <w:szCs w:val="22"/>
              </w:rPr>
              <w:t xml:space="preserve">k each day, this </w:t>
            </w:r>
            <w:r w:rsidR="00890EF4" w:rsidRPr="003810AA">
              <w:rPr>
                <w:b/>
                <w:sz w:val="22"/>
                <w:szCs w:val="22"/>
              </w:rPr>
              <w:t xml:space="preserve">increased by over </w:t>
            </w:r>
            <w:r w:rsidRPr="003810AA">
              <w:rPr>
                <w:b/>
                <w:sz w:val="22"/>
                <w:szCs w:val="22"/>
              </w:rPr>
              <w:t xml:space="preserve">10% in only 12 months </w:t>
            </w:r>
            <w:r w:rsidR="004C4351">
              <w:rPr>
                <w:b/>
                <w:sz w:val="22"/>
                <w:szCs w:val="22"/>
              </w:rPr>
              <w:t>to 26% in 2016.</w:t>
            </w:r>
            <w:r w:rsidRPr="00942A42">
              <w:rPr>
                <w:sz w:val="22"/>
                <w:szCs w:val="22"/>
              </w:rPr>
              <w:t xml:space="preserve"> </w:t>
            </w:r>
          </w:p>
        </w:tc>
      </w:tr>
    </w:tbl>
    <w:p w:rsidR="00B53008" w:rsidRDefault="00B53008" w:rsidP="00C723DB">
      <w:pPr>
        <w:pStyle w:val="Body01"/>
        <w:rPr>
          <w:sz w:val="22"/>
          <w:szCs w:val="22"/>
        </w:rPr>
      </w:pPr>
    </w:p>
    <w:p w:rsidR="00B53008" w:rsidRDefault="00B53008" w:rsidP="00C723DB">
      <w:pPr>
        <w:pStyle w:val="Body01"/>
        <w:rPr>
          <w:sz w:val="22"/>
          <w:szCs w:val="22"/>
        </w:rPr>
      </w:pPr>
    </w:p>
    <w:p w:rsidR="00661D5E" w:rsidRDefault="00661D5E" w:rsidP="00C723DB">
      <w:pPr>
        <w:pStyle w:val="Body01"/>
        <w:rPr>
          <w:sz w:val="22"/>
          <w:szCs w:val="22"/>
        </w:rPr>
      </w:pPr>
    </w:p>
    <w:p w:rsidR="00B53008" w:rsidRDefault="00B53008" w:rsidP="00C723DB">
      <w:pPr>
        <w:pStyle w:val="Body01"/>
        <w:rPr>
          <w:sz w:val="22"/>
          <w:szCs w:val="22"/>
        </w:rPr>
      </w:pPr>
    </w:p>
    <w:p w:rsidR="00B53008" w:rsidRDefault="00B53008" w:rsidP="00C723DB">
      <w:pPr>
        <w:pStyle w:val="Body01"/>
        <w:rPr>
          <w:sz w:val="22"/>
          <w:szCs w:val="22"/>
        </w:rPr>
      </w:pPr>
    </w:p>
    <w:p w:rsidR="00DA7C5F" w:rsidRPr="00B53008" w:rsidRDefault="00B53008" w:rsidP="00C723DB">
      <w:pPr>
        <w:pStyle w:val="Body01"/>
        <w:rPr>
          <w:b/>
          <w:sz w:val="22"/>
          <w:szCs w:val="22"/>
        </w:rPr>
      </w:pPr>
      <w:r w:rsidRPr="00B53008">
        <w:rPr>
          <w:b/>
          <w:sz w:val="22"/>
          <w:szCs w:val="22"/>
        </w:rPr>
        <w:lastRenderedPageBreak/>
        <w:t xml:space="preserve">Percentage of </w:t>
      </w:r>
      <w:r w:rsidR="00FC3FC9">
        <w:rPr>
          <w:b/>
          <w:sz w:val="22"/>
          <w:szCs w:val="22"/>
        </w:rPr>
        <w:t>W</w:t>
      </w:r>
      <w:r w:rsidRPr="00B53008">
        <w:rPr>
          <w:b/>
          <w:sz w:val="22"/>
          <w:szCs w:val="22"/>
        </w:rPr>
        <w:t xml:space="preserve">orkers </w:t>
      </w:r>
      <w:r w:rsidR="00FC3FC9">
        <w:rPr>
          <w:b/>
          <w:sz w:val="22"/>
          <w:szCs w:val="22"/>
        </w:rPr>
        <w:t>U</w:t>
      </w:r>
      <w:r w:rsidRPr="00B53008">
        <w:rPr>
          <w:b/>
          <w:sz w:val="22"/>
          <w:szCs w:val="22"/>
        </w:rPr>
        <w:t xml:space="preserve">sing </w:t>
      </w:r>
      <w:r w:rsidR="00FC3FC9">
        <w:rPr>
          <w:b/>
          <w:sz w:val="22"/>
          <w:szCs w:val="22"/>
        </w:rPr>
        <w:t>P</w:t>
      </w:r>
      <w:r w:rsidRPr="00B53008">
        <w:rPr>
          <w:b/>
          <w:sz w:val="22"/>
          <w:szCs w:val="22"/>
        </w:rPr>
        <w:t xml:space="preserve">ublic </w:t>
      </w:r>
      <w:r w:rsidR="00FC3FC9">
        <w:rPr>
          <w:b/>
          <w:sz w:val="22"/>
          <w:szCs w:val="22"/>
        </w:rPr>
        <w:t>T</w:t>
      </w:r>
      <w:r w:rsidRPr="00B53008">
        <w:rPr>
          <w:b/>
          <w:sz w:val="22"/>
          <w:szCs w:val="22"/>
        </w:rPr>
        <w:t xml:space="preserve">ransport to </w:t>
      </w:r>
      <w:r w:rsidR="00FC3FC9">
        <w:rPr>
          <w:b/>
          <w:sz w:val="22"/>
          <w:szCs w:val="22"/>
        </w:rPr>
        <w:t>C</w:t>
      </w:r>
      <w:r w:rsidRPr="00B53008">
        <w:rPr>
          <w:b/>
          <w:sz w:val="22"/>
          <w:szCs w:val="22"/>
        </w:rPr>
        <w:t xml:space="preserve">ommute on </w:t>
      </w:r>
      <w:r w:rsidR="00FC3FC9">
        <w:rPr>
          <w:b/>
          <w:sz w:val="22"/>
          <w:szCs w:val="22"/>
        </w:rPr>
        <w:t>C</w:t>
      </w:r>
      <w:r w:rsidRPr="00B53008">
        <w:rPr>
          <w:b/>
          <w:sz w:val="22"/>
          <w:szCs w:val="22"/>
        </w:rPr>
        <w:t xml:space="preserve">ensus </w:t>
      </w:r>
      <w:r w:rsidR="00FC3FC9">
        <w:rPr>
          <w:b/>
          <w:sz w:val="22"/>
          <w:szCs w:val="22"/>
        </w:rPr>
        <w:t>D</w:t>
      </w:r>
      <w:r w:rsidRPr="00B53008">
        <w:rPr>
          <w:b/>
          <w:sz w:val="22"/>
          <w:szCs w:val="22"/>
        </w:rPr>
        <w:t>ay</w:t>
      </w:r>
      <w:r w:rsidR="001371A8">
        <w:rPr>
          <w:b/>
          <w:sz w:val="22"/>
          <w:szCs w:val="22"/>
        </w:rPr>
        <w:t>, 201</w:t>
      </w:r>
      <w:r w:rsidR="00C77F71">
        <w:rPr>
          <w:b/>
          <w:sz w:val="22"/>
          <w:szCs w:val="22"/>
        </w:rPr>
        <w:t>6</w:t>
      </w:r>
      <w:r>
        <w:rPr>
          <w:rStyle w:val="FootnoteReference"/>
          <w:b/>
          <w:sz w:val="22"/>
          <w:szCs w:val="22"/>
        </w:rPr>
        <w:footnoteReference w:id="7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597"/>
      </w:tblGrid>
      <w:tr w:rsidR="00DA7C5F" w:rsidRPr="00942A42" w:rsidTr="00C77F71">
        <w:tc>
          <w:tcPr>
            <w:tcW w:w="6705" w:type="dxa"/>
          </w:tcPr>
          <w:p w:rsidR="00DA7C5F" w:rsidRPr="00942A42" w:rsidRDefault="00C77F71" w:rsidP="00C723DB">
            <w:pPr>
              <w:pStyle w:val="Body01"/>
              <w:rPr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9596D9" wp14:editId="0ABA8226">
                  <wp:extent cx="4191990" cy="2755075"/>
                  <wp:effectExtent l="0" t="0" r="0" b="762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DA7C5F" w:rsidRPr="004A2987" w:rsidRDefault="005C2F53" w:rsidP="00C723DB">
            <w:pPr>
              <w:pStyle w:val="Body01"/>
              <w:rPr>
                <w:b/>
                <w:sz w:val="22"/>
                <w:szCs w:val="22"/>
              </w:rPr>
            </w:pPr>
            <w:r w:rsidRPr="004A2987">
              <w:rPr>
                <w:sz w:val="22"/>
                <w:szCs w:val="22"/>
              </w:rPr>
              <w:t>Car as driver is the most popular method of travel to work amongst all Victorian employees</w:t>
            </w:r>
            <w:r w:rsidRPr="004A2987">
              <w:rPr>
                <w:b/>
                <w:sz w:val="22"/>
                <w:szCs w:val="22"/>
              </w:rPr>
              <w:t xml:space="preserve">. The largest proportion of drivers is in Wyndham, where </w:t>
            </w:r>
            <w:r w:rsidR="00C77F71">
              <w:rPr>
                <w:b/>
                <w:sz w:val="22"/>
                <w:szCs w:val="22"/>
              </w:rPr>
              <w:t xml:space="preserve">over </w:t>
            </w:r>
            <w:r w:rsidRPr="004A2987">
              <w:rPr>
                <w:b/>
                <w:sz w:val="22"/>
                <w:szCs w:val="22"/>
              </w:rPr>
              <w:t xml:space="preserve">two thirds of employees drive their car to </w:t>
            </w:r>
            <w:r w:rsidR="00C77F71">
              <w:rPr>
                <w:b/>
                <w:sz w:val="22"/>
                <w:szCs w:val="22"/>
              </w:rPr>
              <w:t>work, compared to 62</w:t>
            </w:r>
            <w:r w:rsidRPr="004A2987">
              <w:rPr>
                <w:b/>
                <w:sz w:val="22"/>
                <w:szCs w:val="22"/>
              </w:rPr>
              <w:t>% of employees across Greater Melbourne</w:t>
            </w:r>
            <w:r w:rsidR="00C77F71">
              <w:rPr>
                <w:b/>
                <w:sz w:val="22"/>
                <w:szCs w:val="22"/>
              </w:rPr>
              <w:t xml:space="preserve"> and 63</w:t>
            </w:r>
            <w:r w:rsidR="000C188B">
              <w:rPr>
                <w:b/>
                <w:sz w:val="22"/>
                <w:szCs w:val="22"/>
              </w:rPr>
              <w:t>% Victoria wide</w:t>
            </w:r>
            <w:r w:rsidRPr="004A2987">
              <w:rPr>
                <w:b/>
                <w:sz w:val="22"/>
                <w:szCs w:val="22"/>
              </w:rPr>
              <w:t>.</w:t>
            </w:r>
          </w:p>
          <w:p w:rsidR="005C2F53" w:rsidRPr="00942A42" w:rsidRDefault="005C2F53" w:rsidP="00C77F71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sz w:val="22"/>
                <w:szCs w:val="22"/>
              </w:rPr>
              <w:t xml:space="preserve">A similar proportion of employees in Wyndham and </w:t>
            </w:r>
            <w:r w:rsidR="00C77F71">
              <w:rPr>
                <w:sz w:val="22"/>
                <w:szCs w:val="22"/>
              </w:rPr>
              <w:t>the Western Region</w:t>
            </w:r>
            <w:r w:rsidRPr="00942A42">
              <w:rPr>
                <w:sz w:val="22"/>
                <w:szCs w:val="22"/>
              </w:rPr>
              <w:t xml:space="preserve"> use public transport (train and bus) to travel to work. </w:t>
            </w:r>
            <w:r w:rsidRPr="004A2987">
              <w:rPr>
                <w:b/>
                <w:sz w:val="22"/>
                <w:szCs w:val="22"/>
              </w:rPr>
              <w:t>In Wyndham</w:t>
            </w:r>
            <w:r w:rsidR="00B521FC">
              <w:rPr>
                <w:b/>
                <w:sz w:val="22"/>
                <w:szCs w:val="22"/>
              </w:rPr>
              <w:t xml:space="preserve"> and across Victoria</w:t>
            </w:r>
            <w:r w:rsidRPr="004A2987">
              <w:rPr>
                <w:b/>
                <w:sz w:val="22"/>
                <w:szCs w:val="22"/>
              </w:rPr>
              <w:t>, train travel is more common than bus travel.</w:t>
            </w:r>
            <w:r w:rsidRPr="00942A42">
              <w:rPr>
                <w:sz w:val="22"/>
                <w:szCs w:val="22"/>
              </w:rPr>
              <w:t xml:space="preserve">  </w:t>
            </w:r>
          </w:p>
        </w:tc>
      </w:tr>
    </w:tbl>
    <w:p w:rsidR="00DA7C5F" w:rsidRPr="003810AA" w:rsidRDefault="003810AA" w:rsidP="00C723DB">
      <w:pPr>
        <w:pStyle w:val="Body01"/>
        <w:rPr>
          <w:b/>
          <w:sz w:val="22"/>
          <w:szCs w:val="22"/>
        </w:rPr>
      </w:pPr>
      <w:r w:rsidRPr="003810AA">
        <w:rPr>
          <w:b/>
          <w:sz w:val="22"/>
          <w:szCs w:val="22"/>
        </w:rPr>
        <w:t xml:space="preserve">Percentage of </w:t>
      </w:r>
      <w:r w:rsidR="00FC3FC9">
        <w:rPr>
          <w:b/>
          <w:sz w:val="22"/>
          <w:szCs w:val="22"/>
        </w:rPr>
        <w:t>R</w:t>
      </w:r>
      <w:r w:rsidRPr="003810AA">
        <w:rPr>
          <w:b/>
          <w:sz w:val="22"/>
          <w:szCs w:val="22"/>
        </w:rPr>
        <w:t xml:space="preserve">esidents who </w:t>
      </w:r>
      <w:r w:rsidR="00FC3FC9">
        <w:rPr>
          <w:b/>
          <w:sz w:val="22"/>
          <w:szCs w:val="22"/>
        </w:rPr>
        <w:t>B</w:t>
      </w:r>
      <w:r w:rsidRPr="003810AA">
        <w:rPr>
          <w:b/>
          <w:sz w:val="22"/>
          <w:szCs w:val="22"/>
        </w:rPr>
        <w:t xml:space="preserve">elieve Public Transport is an </w:t>
      </w:r>
      <w:r w:rsidR="00FC3FC9">
        <w:rPr>
          <w:b/>
          <w:sz w:val="22"/>
          <w:szCs w:val="22"/>
        </w:rPr>
        <w:t>I</w:t>
      </w:r>
      <w:r w:rsidRPr="003810AA">
        <w:rPr>
          <w:b/>
          <w:sz w:val="22"/>
          <w:szCs w:val="22"/>
        </w:rPr>
        <w:t xml:space="preserve">ssue for Council to </w:t>
      </w:r>
      <w:r w:rsidR="00FC3FC9">
        <w:rPr>
          <w:b/>
          <w:sz w:val="22"/>
          <w:szCs w:val="22"/>
        </w:rPr>
        <w:t>A</w:t>
      </w:r>
      <w:r w:rsidRPr="003810AA">
        <w:rPr>
          <w:b/>
          <w:sz w:val="22"/>
          <w:szCs w:val="22"/>
        </w:rPr>
        <w:t xml:space="preserve">ddress in the </w:t>
      </w:r>
      <w:r w:rsidR="00FC3FC9">
        <w:rPr>
          <w:b/>
          <w:sz w:val="22"/>
          <w:szCs w:val="22"/>
        </w:rPr>
        <w:t>N</w:t>
      </w:r>
      <w:r w:rsidRPr="003810AA">
        <w:rPr>
          <w:b/>
          <w:sz w:val="22"/>
          <w:szCs w:val="22"/>
        </w:rPr>
        <w:t xml:space="preserve">ext 12 </w:t>
      </w:r>
      <w:r w:rsidR="00FC3FC9">
        <w:rPr>
          <w:b/>
          <w:sz w:val="22"/>
          <w:szCs w:val="22"/>
        </w:rPr>
        <w:t>M</w:t>
      </w:r>
      <w:r w:rsidRPr="003810AA">
        <w:rPr>
          <w:b/>
          <w:sz w:val="22"/>
          <w:szCs w:val="22"/>
        </w:rPr>
        <w:t>onths</w:t>
      </w:r>
      <w:r w:rsidR="001371A8">
        <w:rPr>
          <w:b/>
          <w:sz w:val="22"/>
          <w:szCs w:val="22"/>
        </w:rPr>
        <w:t>, 2013 to 2016</w:t>
      </w:r>
      <w:r>
        <w:rPr>
          <w:rStyle w:val="FootnoteReference"/>
          <w:b/>
          <w:sz w:val="22"/>
          <w:szCs w:val="22"/>
        </w:rPr>
        <w:footnoteReference w:id="8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A7C5F" w:rsidRPr="00942A42" w:rsidTr="00FC61E8">
        <w:tc>
          <w:tcPr>
            <w:tcW w:w="10414" w:type="dxa"/>
          </w:tcPr>
          <w:p w:rsidR="00DA7C5F" w:rsidRPr="00942A42" w:rsidRDefault="00DA7C5F" w:rsidP="00C723DB">
            <w:pPr>
              <w:pStyle w:val="Body01"/>
              <w:rPr>
                <w:sz w:val="22"/>
                <w:szCs w:val="22"/>
              </w:rPr>
            </w:pPr>
            <w:r w:rsidRPr="00942A42">
              <w:rPr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1E7FD145" wp14:editId="288C088E">
                  <wp:extent cx="6234545" cy="2743200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A7C5F" w:rsidRPr="00942A42" w:rsidTr="00FC61E8">
        <w:tc>
          <w:tcPr>
            <w:tcW w:w="10414" w:type="dxa"/>
          </w:tcPr>
          <w:p w:rsidR="00DA7C5F" w:rsidRPr="00942A42" w:rsidRDefault="007D5505" w:rsidP="00B521FC">
            <w:pPr>
              <w:pStyle w:val="Body01"/>
              <w:rPr>
                <w:sz w:val="22"/>
                <w:szCs w:val="22"/>
              </w:rPr>
            </w:pPr>
            <w:r w:rsidRPr="004A2987">
              <w:rPr>
                <w:b/>
                <w:sz w:val="22"/>
                <w:szCs w:val="22"/>
              </w:rPr>
              <w:t>The percentage of Wyndham residents who believe public transport is an issue for Council to address has steadily decreased over the last 4 years.</w:t>
            </w:r>
            <w:r w:rsidRPr="00942A42">
              <w:rPr>
                <w:sz w:val="22"/>
                <w:szCs w:val="22"/>
              </w:rPr>
              <w:t xml:space="preserve"> </w:t>
            </w:r>
            <w:r w:rsidR="000C188B">
              <w:rPr>
                <w:sz w:val="22"/>
                <w:szCs w:val="22"/>
              </w:rPr>
              <w:t xml:space="preserve"> Around</w:t>
            </w:r>
            <w:r w:rsidR="004A2987">
              <w:rPr>
                <w:sz w:val="22"/>
                <w:szCs w:val="22"/>
              </w:rPr>
              <w:t xml:space="preserve"> 1</w:t>
            </w:r>
            <w:r w:rsidR="000C188B">
              <w:rPr>
                <w:sz w:val="22"/>
                <w:szCs w:val="22"/>
              </w:rPr>
              <w:t>6</w:t>
            </w:r>
            <w:r w:rsidR="004A2987">
              <w:rPr>
                <w:sz w:val="22"/>
                <w:szCs w:val="22"/>
              </w:rPr>
              <w:t>%</w:t>
            </w:r>
            <w:r w:rsidRPr="00942A42">
              <w:rPr>
                <w:sz w:val="22"/>
                <w:szCs w:val="22"/>
              </w:rPr>
              <w:t xml:space="preserve"> of residents believed transport was a key issue</w:t>
            </w:r>
            <w:r w:rsidR="000C188B">
              <w:rPr>
                <w:sz w:val="22"/>
                <w:szCs w:val="22"/>
              </w:rPr>
              <w:t xml:space="preserve"> in 2013</w:t>
            </w:r>
            <w:r w:rsidRPr="00942A42">
              <w:rPr>
                <w:sz w:val="22"/>
                <w:szCs w:val="22"/>
              </w:rPr>
              <w:t xml:space="preserve">. </w:t>
            </w:r>
            <w:r w:rsidR="000C188B">
              <w:rPr>
                <w:sz w:val="22"/>
                <w:szCs w:val="22"/>
              </w:rPr>
              <w:t>By 2016</w:t>
            </w:r>
            <w:r w:rsidRPr="00942A42">
              <w:rPr>
                <w:sz w:val="22"/>
                <w:szCs w:val="22"/>
              </w:rPr>
              <w:t xml:space="preserve">, </w:t>
            </w:r>
            <w:r w:rsidR="004A2987">
              <w:rPr>
                <w:sz w:val="22"/>
                <w:szCs w:val="22"/>
              </w:rPr>
              <w:t>the</w:t>
            </w:r>
            <w:r w:rsidRPr="00942A42">
              <w:rPr>
                <w:sz w:val="22"/>
                <w:szCs w:val="22"/>
              </w:rPr>
              <w:t xml:space="preserve"> figure fell to </w:t>
            </w:r>
            <w:r w:rsidRPr="004A2987">
              <w:rPr>
                <w:b/>
                <w:sz w:val="22"/>
                <w:szCs w:val="22"/>
              </w:rPr>
              <w:t>less than 8% of residents</w:t>
            </w:r>
            <w:r w:rsidRPr="00942A42">
              <w:rPr>
                <w:sz w:val="22"/>
                <w:szCs w:val="22"/>
              </w:rPr>
              <w:t>.</w:t>
            </w:r>
            <w:r w:rsidR="000C188B">
              <w:rPr>
                <w:sz w:val="22"/>
                <w:szCs w:val="22"/>
              </w:rPr>
              <w:t xml:space="preserve"> </w:t>
            </w:r>
            <w:r w:rsidR="00B521FC">
              <w:rPr>
                <w:sz w:val="22"/>
                <w:szCs w:val="22"/>
              </w:rPr>
              <w:t>The</w:t>
            </w:r>
            <w:r w:rsidR="000C188B">
              <w:rPr>
                <w:sz w:val="22"/>
                <w:szCs w:val="22"/>
              </w:rPr>
              <w:t xml:space="preserve"> opening of the Regional Rail Link stations at Tarneit and Wyndham Vale</w:t>
            </w:r>
            <w:r w:rsidR="00B521FC">
              <w:rPr>
                <w:sz w:val="22"/>
                <w:szCs w:val="22"/>
              </w:rPr>
              <w:t xml:space="preserve"> in 2015 increased</w:t>
            </w:r>
            <w:r w:rsidR="00354501">
              <w:rPr>
                <w:sz w:val="22"/>
                <w:szCs w:val="22"/>
              </w:rPr>
              <w:t xml:space="preserve"> Wyndham residents</w:t>
            </w:r>
            <w:r w:rsidR="00B521FC">
              <w:rPr>
                <w:sz w:val="22"/>
                <w:szCs w:val="22"/>
              </w:rPr>
              <w:t>’</w:t>
            </w:r>
            <w:r w:rsidR="00354501">
              <w:rPr>
                <w:sz w:val="22"/>
                <w:szCs w:val="22"/>
              </w:rPr>
              <w:t xml:space="preserve"> access to public transport, and </w:t>
            </w:r>
            <w:r w:rsidR="00B521FC">
              <w:rPr>
                <w:sz w:val="22"/>
                <w:szCs w:val="22"/>
              </w:rPr>
              <w:t>has likely impacted this trend.</w:t>
            </w:r>
            <w:r w:rsidR="00BB7C18">
              <w:rPr>
                <w:sz w:val="22"/>
                <w:szCs w:val="22"/>
              </w:rPr>
              <w:t xml:space="preserve"> </w:t>
            </w:r>
            <w:r w:rsidR="00354501">
              <w:rPr>
                <w:sz w:val="22"/>
                <w:szCs w:val="22"/>
              </w:rPr>
              <w:t xml:space="preserve"> </w:t>
            </w:r>
          </w:p>
        </w:tc>
      </w:tr>
    </w:tbl>
    <w:p w:rsidR="00DA7C5F" w:rsidRPr="00C723DB" w:rsidRDefault="00DA7C5F" w:rsidP="00C723DB">
      <w:pPr>
        <w:pStyle w:val="Body01"/>
      </w:pPr>
    </w:p>
    <w:sectPr w:rsidR="00DA7C5F" w:rsidRPr="00C723DB" w:rsidSect="00E27C7E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5B" w:rsidRDefault="0046615B" w:rsidP="00D62CF1">
      <w:r>
        <w:separator/>
      </w:r>
    </w:p>
  </w:endnote>
  <w:endnote w:type="continuationSeparator" w:id="0">
    <w:p w:rsidR="0046615B" w:rsidRDefault="0046615B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5B" w:rsidRDefault="0046615B" w:rsidP="00D62CF1">
      <w:r>
        <w:separator/>
      </w:r>
    </w:p>
  </w:footnote>
  <w:footnote w:type="continuationSeparator" w:id="0">
    <w:p w:rsidR="0046615B" w:rsidRDefault="0046615B" w:rsidP="00D62CF1">
      <w:r>
        <w:continuationSeparator/>
      </w:r>
    </w:p>
  </w:footnote>
  <w:footnote w:id="1">
    <w:p w:rsidR="00175636" w:rsidRPr="007165E9" w:rsidRDefault="00175636" w:rsidP="00175636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7165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165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F56681">
        <w:rPr>
          <w:rFonts w:asciiTheme="majorHAnsi" w:hAnsiTheme="majorHAnsi"/>
          <w:sz w:val="16"/>
          <w:szCs w:val="16"/>
        </w:rPr>
        <w:t>Local Government Performance Reporting Framework.</w:t>
      </w:r>
      <w:proofErr w:type="gramEnd"/>
      <w:r w:rsidR="00F56681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F56681">
        <w:rPr>
          <w:rFonts w:asciiTheme="majorHAnsi" w:hAnsiTheme="majorHAnsi"/>
          <w:sz w:val="16"/>
          <w:szCs w:val="16"/>
        </w:rPr>
        <w:t>(2014/15 and 2015/16).</w:t>
      </w:r>
      <w:proofErr w:type="gramEnd"/>
      <w:r w:rsidR="00F56681">
        <w:rPr>
          <w:rFonts w:asciiTheme="majorHAnsi" w:hAnsiTheme="majorHAnsi"/>
          <w:sz w:val="16"/>
          <w:szCs w:val="16"/>
        </w:rPr>
        <w:t xml:space="preserve"> Know your council.  </w:t>
      </w:r>
    </w:p>
  </w:footnote>
  <w:footnote w:id="2">
    <w:p w:rsidR="007165E9" w:rsidRPr="007165E9" w:rsidRDefault="007165E9">
      <w:pPr>
        <w:pStyle w:val="FootnoteText"/>
        <w:rPr>
          <w:lang w:val="en-AU"/>
        </w:rPr>
      </w:pPr>
      <w:r w:rsidRPr="007165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165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2004C2">
        <w:rPr>
          <w:rFonts w:asciiTheme="majorHAnsi" w:hAnsiTheme="majorHAnsi"/>
          <w:sz w:val="16"/>
          <w:szCs w:val="16"/>
          <w:lang w:val="en-AU"/>
        </w:rPr>
        <w:t>Australian Bureau of Statistics.</w:t>
      </w:r>
      <w:proofErr w:type="gramEnd"/>
      <w:r w:rsidR="002004C2">
        <w:rPr>
          <w:rFonts w:asciiTheme="majorHAnsi" w:hAnsiTheme="majorHAnsi"/>
          <w:sz w:val="16"/>
          <w:szCs w:val="16"/>
          <w:lang w:val="en-AU"/>
        </w:rPr>
        <w:t xml:space="preserve"> (2016).</w:t>
      </w:r>
      <w:r w:rsidRPr="007165E9">
        <w:rPr>
          <w:rFonts w:asciiTheme="majorHAnsi" w:hAnsiTheme="majorHAnsi"/>
          <w:sz w:val="16"/>
          <w:szCs w:val="16"/>
          <w:lang w:val="en-AU"/>
        </w:rPr>
        <w:t xml:space="preserve"> Census of </w:t>
      </w:r>
      <w:r w:rsidR="00FC3FC9">
        <w:rPr>
          <w:rFonts w:asciiTheme="majorHAnsi" w:hAnsiTheme="majorHAnsi"/>
          <w:sz w:val="16"/>
          <w:szCs w:val="16"/>
          <w:lang w:val="en-AU"/>
        </w:rPr>
        <w:t>p</w:t>
      </w:r>
      <w:r w:rsidRPr="007165E9">
        <w:rPr>
          <w:rFonts w:asciiTheme="majorHAnsi" w:hAnsiTheme="majorHAnsi"/>
          <w:sz w:val="16"/>
          <w:szCs w:val="16"/>
          <w:lang w:val="en-AU"/>
        </w:rPr>
        <w:t xml:space="preserve">opulation and </w:t>
      </w:r>
      <w:r w:rsidR="00FC3FC9">
        <w:rPr>
          <w:rFonts w:asciiTheme="majorHAnsi" w:hAnsiTheme="majorHAnsi"/>
          <w:sz w:val="16"/>
          <w:szCs w:val="16"/>
          <w:lang w:val="en-AU"/>
        </w:rPr>
        <w:t>h</w:t>
      </w:r>
      <w:r w:rsidRPr="007165E9">
        <w:rPr>
          <w:rFonts w:asciiTheme="majorHAnsi" w:hAnsiTheme="majorHAnsi"/>
          <w:sz w:val="16"/>
          <w:szCs w:val="16"/>
          <w:lang w:val="en-AU"/>
        </w:rPr>
        <w:t>ousing</w:t>
      </w:r>
    </w:p>
  </w:footnote>
  <w:footnote w:id="3">
    <w:p w:rsidR="005A4096" w:rsidRPr="003B24DA" w:rsidRDefault="005A4096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3B24D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3B24D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3B24DA" w:rsidRPr="003B24DA">
        <w:rPr>
          <w:rFonts w:asciiTheme="majorHAnsi" w:hAnsiTheme="majorHAnsi"/>
          <w:sz w:val="16"/>
          <w:szCs w:val="16"/>
        </w:rPr>
        <w:t>Local Government Performance Reporting Framework.</w:t>
      </w:r>
      <w:proofErr w:type="gramEnd"/>
      <w:r w:rsidR="003B24DA" w:rsidRPr="003B24D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3B24DA" w:rsidRPr="003B24DA">
        <w:rPr>
          <w:rFonts w:asciiTheme="majorHAnsi" w:hAnsiTheme="majorHAnsi"/>
          <w:sz w:val="16"/>
          <w:szCs w:val="16"/>
        </w:rPr>
        <w:t>(2014/15 and 2015/16).</w:t>
      </w:r>
      <w:proofErr w:type="gramEnd"/>
      <w:r w:rsidR="003B24DA" w:rsidRPr="003B24DA">
        <w:rPr>
          <w:rFonts w:asciiTheme="majorHAnsi" w:hAnsiTheme="majorHAnsi"/>
          <w:sz w:val="16"/>
          <w:szCs w:val="16"/>
        </w:rPr>
        <w:t xml:space="preserve"> Know your council.  </w:t>
      </w:r>
    </w:p>
  </w:footnote>
  <w:footnote w:id="4">
    <w:p w:rsidR="00074BED" w:rsidRPr="00074BED" w:rsidRDefault="00074BED">
      <w:pPr>
        <w:pStyle w:val="FootnoteText"/>
        <w:rPr>
          <w:lang w:val="en-AU"/>
        </w:rPr>
      </w:pPr>
      <w:r w:rsidRPr="003B24D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3B24DA">
        <w:rPr>
          <w:rFonts w:asciiTheme="majorHAnsi" w:hAnsiTheme="majorHAnsi"/>
          <w:sz w:val="16"/>
          <w:szCs w:val="16"/>
        </w:rPr>
        <w:t xml:space="preserve"> State of Environment Reporting - Wyndham City Council</w:t>
      </w:r>
    </w:p>
  </w:footnote>
  <w:footnote w:id="5">
    <w:p w:rsidR="003C2FDC" w:rsidRPr="00155ECA" w:rsidRDefault="003C2FDC" w:rsidP="003C2FDC">
      <w:pPr>
        <w:pStyle w:val="FootnoteText"/>
        <w:rPr>
          <w:rFonts w:asciiTheme="majorHAnsi" w:hAnsiTheme="majorHAnsi"/>
          <w:sz w:val="16"/>
          <w:szCs w:val="16"/>
        </w:rPr>
      </w:pPr>
      <w:r w:rsidRPr="00155EC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55EC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55ECA">
        <w:rPr>
          <w:rFonts w:asciiTheme="majorHAnsi" w:hAnsiTheme="majorHAnsi"/>
          <w:sz w:val="16"/>
          <w:szCs w:val="16"/>
        </w:rPr>
        <w:t>University of Technology of</w:t>
      </w:r>
      <w:r w:rsidR="00155ECA" w:rsidRPr="00155ECA">
        <w:rPr>
          <w:rFonts w:asciiTheme="majorHAnsi" w:hAnsiTheme="majorHAnsi"/>
          <w:sz w:val="16"/>
          <w:szCs w:val="16"/>
        </w:rPr>
        <w:t xml:space="preserve"> Sydney.</w:t>
      </w:r>
      <w:proofErr w:type="gramEnd"/>
      <w:r w:rsidR="00155ECA" w:rsidRPr="00155ECA">
        <w:rPr>
          <w:rFonts w:asciiTheme="majorHAnsi" w:hAnsiTheme="majorHAnsi"/>
          <w:sz w:val="16"/>
          <w:szCs w:val="16"/>
        </w:rPr>
        <w:t xml:space="preserve"> (2014).</w:t>
      </w:r>
      <w:r w:rsidRPr="00155ECA">
        <w:rPr>
          <w:rFonts w:asciiTheme="majorHAnsi" w:hAnsiTheme="majorHAnsi"/>
          <w:sz w:val="16"/>
          <w:szCs w:val="16"/>
        </w:rPr>
        <w:t xml:space="preserve"> Benchmarking Australia’s Urban Tree Canopy: An </w:t>
      </w:r>
      <w:proofErr w:type="spellStart"/>
      <w:r w:rsidRPr="00155ECA">
        <w:rPr>
          <w:rFonts w:asciiTheme="majorHAnsi" w:hAnsiTheme="majorHAnsi"/>
          <w:sz w:val="16"/>
          <w:szCs w:val="16"/>
        </w:rPr>
        <w:t>i</w:t>
      </w:r>
      <w:proofErr w:type="spellEnd"/>
      <w:r w:rsidRPr="00155ECA">
        <w:rPr>
          <w:rFonts w:asciiTheme="majorHAnsi" w:hAnsiTheme="majorHAnsi"/>
          <w:sz w:val="16"/>
          <w:szCs w:val="16"/>
        </w:rPr>
        <w:t>-Tree Assessment</w:t>
      </w:r>
    </w:p>
  </w:footnote>
  <w:footnote w:id="6">
    <w:p w:rsidR="00942A42" w:rsidRPr="00942A42" w:rsidRDefault="00942A42">
      <w:pPr>
        <w:pStyle w:val="FootnoteText"/>
        <w:rPr>
          <w:lang w:val="en-AU"/>
        </w:rPr>
      </w:pPr>
      <w:r w:rsidRPr="00155ECA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55EC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55ECA">
        <w:rPr>
          <w:rFonts w:asciiTheme="majorHAnsi" w:hAnsiTheme="majorHAnsi"/>
          <w:sz w:val="16"/>
          <w:szCs w:val="16"/>
          <w:lang w:val="en-AU"/>
        </w:rPr>
        <w:t>Wyndham City Council.</w:t>
      </w:r>
      <w:proofErr w:type="gramEnd"/>
      <w:r w:rsidRPr="00155ECA">
        <w:rPr>
          <w:rFonts w:asciiTheme="majorHAnsi" w:hAnsiTheme="majorHAnsi"/>
          <w:sz w:val="16"/>
          <w:szCs w:val="16"/>
          <w:lang w:val="en-AU"/>
        </w:rPr>
        <w:t xml:space="preserve"> (2014 to 2016). Annual </w:t>
      </w:r>
      <w:r w:rsidR="00FC3FC9">
        <w:rPr>
          <w:rFonts w:asciiTheme="majorHAnsi" w:hAnsiTheme="majorHAnsi"/>
          <w:sz w:val="16"/>
          <w:szCs w:val="16"/>
          <w:lang w:val="en-AU"/>
        </w:rPr>
        <w:t>c</w:t>
      </w:r>
      <w:r w:rsidRPr="00155ECA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FC3FC9">
        <w:rPr>
          <w:rFonts w:asciiTheme="majorHAnsi" w:hAnsiTheme="majorHAnsi"/>
          <w:sz w:val="16"/>
          <w:szCs w:val="16"/>
          <w:lang w:val="en-AU"/>
        </w:rPr>
        <w:t>s</w:t>
      </w:r>
      <w:r w:rsidRPr="00155ECA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FC3FC9">
        <w:rPr>
          <w:rFonts w:asciiTheme="majorHAnsi" w:hAnsiTheme="majorHAnsi"/>
          <w:sz w:val="16"/>
          <w:szCs w:val="16"/>
          <w:lang w:val="en-AU"/>
        </w:rPr>
        <w:t>s</w:t>
      </w:r>
      <w:r w:rsidRPr="00155ECA">
        <w:rPr>
          <w:rFonts w:asciiTheme="majorHAnsi" w:hAnsiTheme="majorHAnsi"/>
          <w:sz w:val="16"/>
          <w:szCs w:val="16"/>
          <w:lang w:val="en-AU"/>
        </w:rPr>
        <w:t>urvey</w:t>
      </w:r>
    </w:p>
  </w:footnote>
  <w:footnote w:id="7">
    <w:p w:rsidR="00B53008" w:rsidRPr="00651CE9" w:rsidRDefault="00B53008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651C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51C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B521FC">
        <w:rPr>
          <w:rFonts w:asciiTheme="majorHAnsi" w:hAnsiTheme="majorHAnsi"/>
          <w:sz w:val="16"/>
          <w:szCs w:val="16"/>
        </w:rPr>
        <w:t>Australian Bureau of Statistics.</w:t>
      </w:r>
      <w:proofErr w:type="gramEnd"/>
      <w:r w:rsidR="00B521FC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B521FC">
        <w:rPr>
          <w:rFonts w:asciiTheme="majorHAnsi" w:hAnsiTheme="majorHAnsi"/>
          <w:sz w:val="16"/>
          <w:szCs w:val="16"/>
        </w:rPr>
        <w:t xml:space="preserve">(2011). Census of </w:t>
      </w:r>
      <w:r w:rsidR="00FC3FC9">
        <w:rPr>
          <w:rFonts w:asciiTheme="majorHAnsi" w:hAnsiTheme="majorHAnsi"/>
          <w:sz w:val="16"/>
          <w:szCs w:val="16"/>
        </w:rPr>
        <w:t>p</w:t>
      </w:r>
      <w:r w:rsidR="00B521FC">
        <w:rPr>
          <w:rFonts w:asciiTheme="majorHAnsi" w:hAnsiTheme="majorHAnsi"/>
          <w:sz w:val="16"/>
          <w:szCs w:val="16"/>
        </w:rPr>
        <w:t xml:space="preserve">opulation and </w:t>
      </w:r>
      <w:r w:rsidR="00FC3FC9">
        <w:rPr>
          <w:rFonts w:asciiTheme="majorHAnsi" w:hAnsiTheme="majorHAnsi"/>
          <w:sz w:val="16"/>
          <w:szCs w:val="16"/>
        </w:rPr>
        <w:t>h</w:t>
      </w:r>
      <w:r w:rsidR="00B521FC">
        <w:rPr>
          <w:rFonts w:asciiTheme="majorHAnsi" w:hAnsiTheme="majorHAnsi"/>
          <w:sz w:val="16"/>
          <w:szCs w:val="16"/>
        </w:rPr>
        <w:t>ousing.</w:t>
      </w:r>
      <w:proofErr w:type="gramEnd"/>
      <w:r w:rsidR="00B521FC">
        <w:rPr>
          <w:rFonts w:asciiTheme="majorHAnsi" w:hAnsiTheme="majorHAnsi"/>
          <w:sz w:val="16"/>
          <w:szCs w:val="16"/>
        </w:rPr>
        <w:t xml:space="preserve"> Compiled and presented by .id Consulting</w:t>
      </w:r>
    </w:p>
  </w:footnote>
  <w:footnote w:id="8">
    <w:p w:rsidR="003810AA" w:rsidRPr="003810AA" w:rsidRDefault="003810AA">
      <w:pPr>
        <w:pStyle w:val="FootnoteText"/>
        <w:rPr>
          <w:lang w:val="en-AU"/>
        </w:rPr>
      </w:pPr>
      <w:r w:rsidRPr="00651C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51C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651CE9">
        <w:rPr>
          <w:rFonts w:asciiTheme="majorHAnsi" w:hAnsiTheme="majorHAnsi"/>
          <w:sz w:val="16"/>
          <w:szCs w:val="16"/>
          <w:lang w:val="en-AU"/>
        </w:rPr>
        <w:t>Wyndham City Council.</w:t>
      </w:r>
      <w:proofErr w:type="gramEnd"/>
      <w:r w:rsidRPr="00651CE9">
        <w:rPr>
          <w:rFonts w:asciiTheme="majorHAnsi" w:hAnsiTheme="majorHAnsi"/>
          <w:sz w:val="16"/>
          <w:szCs w:val="16"/>
          <w:lang w:val="en-AU"/>
        </w:rPr>
        <w:t xml:space="preserve"> (2013 to 2016). Annual </w:t>
      </w:r>
      <w:r w:rsidR="00FC3FC9">
        <w:rPr>
          <w:rFonts w:asciiTheme="majorHAnsi" w:hAnsiTheme="majorHAnsi"/>
          <w:sz w:val="16"/>
          <w:szCs w:val="16"/>
          <w:lang w:val="en-AU"/>
        </w:rPr>
        <w:t>c</w:t>
      </w:r>
      <w:r w:rsidRPr="00651CE9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FC3FC9">
        <w:rPr>
          <w:rFonts w:asciiTheme="majorHAnsi" w:hAnsiTheme="majorHAnsi"/>
          <w:sz w:val="16"/>
          <w:szCs w:val="16"/>
          <w:lang w:val="en-AU"/>
        </w:rPr>
        <w:t>s</w:t>
      </w:r>
      <w:r w:rsidRPr="00651CE9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FC3FC9">
        <w:rPr>
          <w:rFonts w:asciiTheme="majorHAnsi" w:hAnsiTheme="majorHAnsi"/>
          <w:sz w:val="16"/>
          <w:szCs w:val="16"/>
          <w:lang w:val="en-AU"/>
        </w:rPr>
        <w:t>s</w:t>
      </w:r>
      <w:r w:rsidRPr="00651CE9">
        <w:rPr>
          <w:rFonts w:asciiTheme="majorHAnsi" w:hAnsiTheme="majorHAnsi"/>
          <w:sz w:val="16"/>
          <w:szCs w:val="16"/>
          <w:lang w:val="en-AU"/>
        </w:rPr>
        <w:t>urvey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79056B4" wp14:editId="175AF3DC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91"/>
    <w:rsid w:val="0004478A"/>
    <w:rsid w:val="00066BC8"/>
    <w:rsid w:val="00074BED"/>
    <w:rsid w:val="000B0E26"/>
    <w:rsid w:val="000C188B"/>
    <w:rsid w:val="000C2899"/>
    <w:rsid w:val="000D338F"/>
    <w:rsid w:val="000D4791"/>
    <w:rsid w:val="000E3866"/>
    <w:rsid w:val="000E4083"/>
    <w:rsid w:val="000F1743"/>
    <w:rsid w:val="000F5687"/>
    <w:rsid w:val="0010234F"/>
    <w:rsid w:val="001023FD"/>
    <w:rsid w:val="0010335E"/>
    <w:rsid w:val="00104135"/>
    <w:rsid w:val="00132DDA"/>
    <w:rsid w:val="00134C17"/>
    <w:rsid w:val="001371A8"/>
    <w:rsid w:val="001442C3"/>
    <w:rsid w:val="0015279E"/>
    <w:rsid w:val="00155ECA"/>
    <w:rsid w:val="0016096E"/>
    <w:rsid w:val="00175636"/>
    <w:rsid w:val="001761EB"/>
    <w:rsid w:val="0019774F"/>
    <w:rsid w:val="001E33C6"/>
    <w:rsid w:val="001F5F81"/>
    <w:rsid w:val="002004C2"/>
    <w:rsid w:val="00220144"/>
    <w:rsid w:val="00253453"/>
    <w:rsid w:val="00254715"/>
    <w:rsid w:val="002C24E0"/>
    <w:rsid w:val="00302E97"/>
    <w:rsid w:val="0034536F"/>
    <w:rsid w:val="00354501"/>
    <w:rsid w:val="003810AA"/>
    <w:rsid w:val="00386175"/>
    <w:rsid w:val="003B24DA"/>
    <w:rsid w:val="003C0E22"/>
    <w:rsid w:val="003C2FDC"/>
    <w:rsid w:val="003E2167"/>
    <w:rsid w:val="00407FB6"/>
    <w:rsid w:val="004141EE"/>
    <w:rsid w:val="0041664F"/>
    <w:rsid w:val="00426E43"/>
    <w:rsid w:val="00430DB0"/>
    <w:rsid w:val="0046615B"/>
    <w:rsid w:val="00476EDC"/>
    <w:rsid w:val="00492304"/>
    <w:rsid w:val="004A2987"/>
    <w:rsid w:val="004A31FF"/>
    <w:rsid w:val="004B2DF3"/>
    <w:rsid w:val="004C4351"/>
    <w:rsid w:val="00522A41"/>
    <w:rsid w:val="00522B24"/>
    <w:rsid w:val="00596D72"/>
    <w:rsid w:val="005A4096"/>
    <w:rsid w:val="005C2F53"/>
    <w:rsid w:val="00604F89"/>
    <w:rsid w:val="006357F8"/>
    <w:rsid w:val="00651CE9"/>
    <w:rsid w:val="00661D5E"/>
    <w:rsid w:val="00670C3A"/>
    <w:rsid w:val="00674071"/>
    <w:rsid w:val="006E44D5"/>
    <w:rsid w:val="006F32E8"/>
    <w:rsid w:val="00705AF6"/>
    <w:rsid w:val="007165E9"/>
    <w:rsid w:val="007472C7"/>
    <w:rsid w:val="007B2BEF"/>
    <w:rsid w:val="007D5505"/>
    <w:rsid w:val="007F059F"/>
    <w:rsid w:val="007F500D"/>
    <w:rsid w:val="007F7E71"/>
    <w:rsid w:val="0080460D"/>
    <w:rsid w:val="00805471"/>
    <w:rsid w:val="0085263B"/>
    <w:rsid w:val="00890EF4"/>
    <w:rsid w:val="00893A96"/>
    <w:rsid w:val="00914757"/>
    <w:rsid w:val="00942A42"/>
    <w:rsid w:val="00951D17"/>
    <w:rsid w:val="00971BD1"/>
    <w:rsid w:val="00996DAF"/>
    <w:rsid w:val="009E295A"/>
    <w:rsid w:val="00A46E01"/>
    <w:rsid w:val="00A54AC6"/>
    <w:rsid w:val="00A80821"/>
    <w:rsid w:val="00B16F22"/>
    <w:rsid w:val="00B521FC"/>
    <w:rsid w:val="00B53008"/>
    <w:rsid w:val="00BB1C1A"/>
    <w:rsid w:val="00BB6A5D"/>
    <w:rsid w:val="00BB7C18"/>
    <w:rsid w:val="00BC7B01"/>
    <w:rsid w:val="00BD1367"/>
    <w:rsid w:val="00C45845"/>
    <w:rsid w:val="00C628FA"/>
    <w:rsid w:val="00C723DB"/>
    <w:rsid w:val="00C73356"/>
    <w:rsid w:val="00C77F71"/>
    <w:rsid w:val="00CC2D2F"/>
    <w:rsid w:val="00CD062F"/>
    <w:rsid w:val="00D62CF1"/>
    <w:rsid w:val="00DA7C5F"/>
    <w:rsid w:val="00DB4F05"/>
    <w:rsid w:val="00DC6CFF"/>
    <w:rsid w:val="00DF0D56"/>
    <w:rsid w:val="00E24E90"/>
    <w:rsid w:val="00E27C7E"/>
    <w:rsid w:val="00E32291"/>
    <w:rsid w:val="00E346EF"/>
    <w:rsid w:val="00E60950"/>
    <w:rsid w:val="00E62FDC"/>
    <w:rsid w:val="00EB5DFA"/>
    <w:rsid w:val="00EF59C2"/>
    <w:rsid w:val="00F10C2B"/>
    <w:rsid w:val="00F24D00"/>
    <w:rsid w:val="00F4181E"/>
    <w:rsid w:val="00F56681"/>
    <w:rsid w:val="00F82156"/>
    <w:rsid w:val="00FB3454"/>
    <w:rsid w:val="00FC0DE6"/>
    <w:rsid w:val="00FC3FC9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F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  <w:rPr>
      <w:rFonts w:ascii="Helvetica" w:eastAsia="MS Mincho" w:hAnsi="Helvetic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  <w:rPr>
      <w:rFonts w:ascii="Helvetica" w:eastAsia="MS Mincho" w:hAnsi="Helvetic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E3229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C6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36"/>
    <w:rPr>
      <w:rFonts w:ascii="Helvetica" w:eastAsia="MS Mincho" w:hAnsi="Helvetic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3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F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  <w:rPr>
      <w:rFonts w:ascii="Helvetica" w:eastAsia="MS Mincho" w:hAnsi="Helvetic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  <w:rPr>
      <w:rFonts w:ascii="Helvetica" w:eastAsia="MS Mincho" w:hAnsi="Helvetic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E3229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C6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36"/>
    <w:rPr>
      <w:rFonts w:ascii="Helvetica" w:eastAsia="MS Mincho" w:hAnsi="Helvetic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3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732750032309497E-2"/>
          <c:y val="5.9665959994752854E-2"/>
          <c:w val="0.88702420671992277"/>
          <c:h val="0.682100042738840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Spaces'!$B$6</c:f>
              <c:strCache>
                <c:ptCount val="1"/>
                <c:pt idx="0">
                  <c:v>Wyndham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Spaces'!$C$5:$D$5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Spaces'!$C$6:$D$6</c:f>
              <c:numCache>
                <c:formatCode>General</c:formatCode>
                <c:ptCount val="2"/>
                <c:pt idx="0">
                  <c:v>66</c:v>
                </c:pt>
                <c:pt idx="1">
                  <c:v>66.400000000000006</c:v>
                </c:pt>
              </c:numCache>
            </c:numRef>
          </c:val>
        </c:ser>
        <c:ser>
          <c:idx val="1"/>
          <c:order val="1"/>
          <c:tx>
            <c:strRef>
              <c:f>'Places and Spaces'!$B$7</c:f>
              <c:strCache>
                <c:ptCount val="1"/>
                <c:pt idx="0">
                  <c:v>Similar Councils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Spaces'!$C$5:$D$5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Spaces'!$C$7:$D$7</c:f>
              <c:numCache>
                <c:formatCode>General</c:formatCode>
                <c:ptCount val="2"/>
                <c:pt idx="0">
                  <c:v>60.96</c:v>
                </c:pt>
                <c:pt idx="1">
                  <c:v>61.84</c:v>
                </c:pt>
              </c:numCache>
            </c:numRef>
          </c:val>
        </c:ser>
        <c:ser>
          <c:idx val="2"/>
          <c:order val="2"/>
          <c:tx>
            <c:strRef>
              <c:f>'Places and Spaces'!$B$8</c:f>
              <c:strCache>
                <c:ptCount val="1"/>
                <c:pt idx="0">
                  <c:v>All Councils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Spaces'!$C$5:$D$5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Spaces'!$C$8:$D$8</c:f>
              <c:numCache>
                <c:formatCode>General</c:formatCode>
                <c:ptCount val="2"/>
                <c:pt idx="0">
                  <c:v>56</c:v>
                </c:pt>
                <c:pt idx="1">
                  <c:v>55.5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306688"/>
        <c:axId val="43294720"/>
      </c:barChart>
      <c:catAx>
        <c:axId val="204306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43294720"/>
        <c:crosses val="autoZero"/>
        <c:auto val="1"/>
        <c:lblAlgn val="ctr"/>
        <c:lblOffset val="100"/>
        <c:noMultiLvlLbl val="0"/>
      </c:catAx>
      <c:valAx>
        <c:axId val="43294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430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63349727226378"/>
          <c:y val="0.84674330962866939"/>
          <c:w val="0.78699382916118532"/>
          <c:h val="9.807040483414367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67786408986234"/>
          <c:y val="5.9367638359371221E-2"/>
          <c:w val="0.82117457339769506"/>
          <c:h val="0.6505549707356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Spaces'!$C$13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Spaces'!$C$15:$C$17</c:f>
              <c:numCache>
                <c:formatCode>0.00%</c:formatCode>
                <c:ptCount val="3"/>
                <c:pt idx="0">
                  <c:v>0.82994199999999996</c:v>
                </c:pt>
                <c:pt idx="1">
                  <c:v>0.16195499999999999</c:v>
                </c:pt>
                <c:pt idx="2">
                  <c:v>2.643E-3</c:v>
                </c:pt>
              </c:numCache>
            </c:numRef>
          </c:val>
        </c:ser>
        <c:ser>
          <c:idx val="1"/>
          <c:order val="1"/>
          <c:tx>
            <c:strRef>
              <c:f>'Places and Spaces'!$D$13</c:f>
              <c:strCache>
                <c:ptCount val="1"/>
                <c:pt idx="0">
                  <c:v>Greater Melbourne 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invertIfNegative val="0"/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Spaces'!$D$15:$D$17</c:f>
              <c:numCache>
                <c:formatCode>0.00%</c:formatCode>
                <c:ptCount val="3"/>
                <c:pt idx="0">
                  <c:v>0.661412</c:v>
                </c:pt>
                <c:pt idx="1">
                  <c:v>0.229378</c:v>
                </c:pt>
                <c:pt idx="2">
                  <c:v>0.10083499999999999</c:v>
                </c:pt>
              </c:numCache>
            </c:numRef>
          </c:val>
        </c:ser>
        <c:ser>
          <c:idx val="2"/>
          <c:order val="2"/>
          <c:tx>
            <c:strRef>
              <c:f>'Places and Spaces'!$F$13</c:f>
              <c:strCache>
                <c:ptCount val="1"/>
                <c:pt idx="0">
                  <c:v>Victoria 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'Places and Spaces'!$B$15:$B$17</c:f>
              <c:strCache>
                <c:ptCount val="3"/>
                <c:pt idx="0">
                  <c:v>Separate house</c:v>
                </c:pt>
                <c:pt idx="1">
                  <c:v>Medium density</c:v>
                </c:pt>
                <c:pt idx="2">
                  <c:v>High density</c:v>
                </c:pt>
              </c:strCache>
            </c:strRef>
          </c:cat>
          <c:val>
            <c:numRef>
              <c:f>'Places and Spaces'!$F$15:$F$17</c:f>
              <c:numCache>
                <c:formatCode>0.00%</c:formatCode>
                <c:ptCount val="3"/>
                <c:pt idx="0">
                  <c:v>0.72099999999999997</c:v>
                </c:pt>
                <c:pt idx="1">
                  <c:v>0.19400000000000001</c:v>
                </c:pt>
                <c:pt idx="2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141504"/>
        <c:axId val="247143040"/>
      </c:barChart>
      <c:catAx>
        <c:axId val="24714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7143040"/>
        <c:crosses val="autoZero"/>
        <c:auto val="1"/>
        <c:lblAlgn val="ctr"/>
        <c:lblOffset val="100"/>
        <c:noMultiLvlLbl val="0"/>
      </c:catAx>
      <c:valAx>
        <c:axId val="24714304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4714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513282266476686E-2"/>
          <c:y val="0.87370247168301818"/>
          <c:w val="0.72394114568754631"/>
          <c:h val="0.124336386583104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80636769720273"/>
          <c:y val="7.0675745781444616E-2"/>
          <c:w val="0.85896117930132854"/>
          <c:h val="0.6934630874838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'Places and Spaces'!$B$29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Spaces'!$C$28:$D$28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Spaces'!$C$29:$D$29</c:f>
              <c:numCache>
                <c:formatCode>0.00%</c:formatCode>
                <c:ptCount val="2"/>
                <c:pt idx="0" formatCode="0%">
                  <c:v>0.37</c:v>
                </c:pt>
                <c:pt idx="1">
                  <c:v>0.36509999999999998</c:v>
                </c:pt>
              </c:numCache>
            </c:numRef>
          </c:val>
        </c:ser>
        <c:ser>
          <c:idx val="1"/>
          <c:order val="1"/>
          <c:tx>
            <c:strRef>
              <c:f>'Places and Spaces'!$B$30</c:f>
              <c:strCache>
                <c:ptCount val="1"/>
                <c:pt idx="0">
                  <c:v>Similar Councils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Spaces'!$C$28:$D$28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Spaces'!$C$30:$D$30</c:f>
              <c:numCache>
                <c:formatCode>0.00%</c:formatCode>
                <c:ptCount val="2"/>
                <c:pt idx="0">
                  <c:v>0.46889999999999998</c:v>
                </c:pt>
                <c:pt idx="1">
                  <c:v>0.4622</c:v>
                </c:pt>
              </c:numCache>
            </c:numRef>
          </c:val>
        </c:ser>
        <c:ser>
          <c:idx val="2"/>
          <c:order val="2"/>
          <c:tx>
            <c:strRef>
              <c:f>'Places and Spaces'!$B$31</c:f>
              <c:strCache>
                <c:ptCount val="1"/>
                <c:pt idx="0">
                  <c:v>All Councils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Spaces'!$C$28:$D$28</c:f>
              <c:strCache>
                <c:ptCount val="2"/>
                <c:pt idx="0">
                  <c:v>2014/15</c:v>
                </c:pt>
                <c:pt idx="1">
                  <c:v>2015/16</c:v>
                </c:pt>
              </c:strCache>
            </c:strRef>
          </c:cat>
          <c:val>
            <c:numRef>
              <c:f>'Places and Spaces'!$C$31:$D$31</c:f>
              <c:numCache>
                <c:formatCode>0.00%</c:formatCode>
                <c:ptCount val="2"/>
                <c:pt idx="0">
                  <c:v>0.40860000000000002</c:v>
                </c:pt>
                <c:pt idx="1">
                  <c:v>0.42920000000000003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173888"/>
        <c:axId val="247175424"/>
      </c:barChart>
      <c:catAx>
        <c:axId val="24717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47175424"/>
        <c:crosses val="autoZero"/>
        <c:auto val="1"/>
        <c:lblAlgn val="ctr"/>
        <c:lblOffset val="100"/>
        <c:noMultiLvlLbl val="0"/>
      </c:catAx>
      <c:valAx>
        <c:axId val="247175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717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3087566200628063E-2"/>
          <c:y val="0.88139691707591006"/>
          <c:w val="0.957165976270409"/>
          <c:h val="0.116256945297247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Spaces'!$D$36:$D$39</c:f>
              <c:strCache>
                <c:ptCount val="4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</c:strCache>
            </c:strRef>
          </c:cat>
          <c:val>
            <c:numRef>
              <c:f>'Places and Spaces'!$E$36:$E$39</c:f>
              <c:numCache>
                <c:formatCode>#,##0</c:formatCode>
                <c:ptCount val="4"/>
                <c:pt idx="0">
                  <c:v>24796</c:v>
                </c:pt>
                <c:pt idx="1">
                  <c:v>25956</c:v>
                </c:pt>
                <c:pt idx="2">
                  <c:v>25728</c:v>
                </c:pt>
                <c:pt idx="3">
                  <c:v>23887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432320"/>
        <c:axId val="249442304"/>
      </c:barChart>
      <c:catAx>
        <c:axId val="249432320"/>
        <c:scaling>
          <c:orientation val="minMax"/>
        </c:scaling>
        <c:delete val="0"/>
        <c:axPos val="l"/>
        <c:majorTickMark val="out"/>
        <c:minorTickMark val="none"/>
        <c:tickLblPos val="nextTo"/>
        <c:crossAx val="249442304"/>
        <c:crosses val="autoZero"/>
        <c:auto val="1"/>
        <c:lblAlgn val="ctr"/>
        <c:lblOffset val="100"/>
        <c:noMultiLvlLbl val="0"/>
      </c:catAx>
      <c:valAx>
        <c:axId val="24944230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249432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'Places and Spaces'!$C$41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Spaces'!$B$42:$B$47</c:f>
              <c:strCache>
                <c:ptCount val="6"/>
                <c:pt idx="0">
                  <c:v>Wyndham</c:v>
                </c:pt>
                <c:pt idx="1">
                  <c:v>Melton</c:v>
                </c:pt>
                <c:pt idx="2">
                  <c:v>Hume</c:v>
                </c:pt>
                <c:pt idx="3">
                  <c:v>Casey</c:v>
                </c:pt>
                <c:pt idx="4">
                  <c:v>Cardinia</c:v>
                </c:pt>
                <c:pt idx="5">
                  <c:v>Whittlesea</c:v>
                </c:pt>
              </c:strCache>
            </c:strRef>
          </c:cat>
          <c:val>
            <c:numRef>
              <c:f>'Places and Spaces'!$C$42:$C$47</c:f>
              <c:numCache>
                <c:formatCode>0.0%</c:formatCode>
                <c:ptCount val="6"/>
                <c:pt idx="0">
                  <c:v>3.1E-2</c:v>
                </c:pt>
                <c:pt idx="1">
                  <c:v>6.3E-2</c:v>
                </c:pt>
                <c:pt idx="2">
                  <c:v>7.9000000000000001E-2</c:v>
                </c:pt>
                <c:pt idx="3">
                  <c:v>0.126</c:v>
                </c:pt>
                <c:pt idx="4">
                  <c:v>0.32200000000000001</c:v>
                </c:pt>
                <c:pt idx="5">
                  <c:v>0.188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471360"/>
        <c:axId val="249472896"/>
      </c:barChart>
      <c:catAx>
        <c:axId val="24947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49472896"/>
        <c:crosses val="autoZero"/>
        <c:auto val="1"/>
        <c:lblAlgn val="ctr"/>
        <c:lblOffset val="100"/>
        <c:noMultiLvlLbl val="0"/>
      </c:catAx>
      <c:valAx>
        <c:axId val="2494728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49471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'Places and Spaces'!$B$72</c:f>
              <c:strCache>
                <c:ptCount val="1"/>
                <c:pt idx="0">
                  <c:v>90 minutes or more</c:v>
                </c:pt>
              </c:strCache>
            </c:strRef>
          </c:tx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'Places and Spaces'!$D$68:$F$68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'Places and Spaces'!$D$72:$F$72</c:f>
              <c:numCache>
                <c:formatCode>0.00%</c:formatCode>
                <c:ptCount val="3"/>
                <c:pt idx="0">
                  <c:v>0.17399999999999999</c:v>
                </c:pt>
                <c:pt idx="1">
                  <c:v>0.14799999999999999</c:v>
                </c:pt>
                <c:pt idx="2">
                  <c:v>0.25700000000000001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628160"/>
        <c:axId val="249629696"/>
      </c:lineChart>
      <c:catAx>
        <c:axId val="24962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629696"/>
        <c:crosses val="autoZero"/>
        <c:auto val="1"/>
        <c:lblAlgn val="ctr"/>
        <c:lblOffset val="100"/>
        <c:noMultiLvlLbl val="0"/>
      </c:catAx>
      <c:valAx>
        <c:axId val="249629696"/>
        <c:scaling>
          <c:orientation val="minMax"/>
          <c:min val="0.12000000000000001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49628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'Places and Spaces'!$F$77</c:f>
              <c:strCache>
                <c:ptCount val="1"/>
                <c:pt idx="0">
                  <c:v>Train</c:v>
                </c:pt>
              </c:strCache>
            </c:strRef>
          </c:tx>
          <c:invertIfNegative val="0"/>
          <c:cat>
            <c:strRef>
              <c:f>'Places and Spaces'!$B$78:$B$81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Spaces'!$F$78:$F$81</c:f>
              <c:numCache>
                <c:formatCode>0.00%</c:formatCode>
                <c:ptCount val="4"/>
                <c:pt idx="0">
                  <c:v>0.1447</c:v>
                </c:pt>
                <c:pt idx="1">
                  <c:v>0.1149</c:v>
                </c:pt>
                <c:pt idx="2">
                  <c:v>0.14299999999999999</c:v>
                </c:pt>
                <c:pt idx="3">
                  <c:v>9.2100000000000001E-2</c:v>
                </c:pt>
              </c:numCache>
            </c:numRef>
          </c:val>
        </c:ser>
        <c:ser>
          <c:idx val="1"/>
          <c:order val="1"/>
          <c:tx>
            <c:strRef>
              <c:f>'Places and Spaces'!$G$77</c:f>
              <c:strCache>
                <c:ptCount val="1"/>
                <c:pt idx="0">
                  <c:v>Bus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'Places and Spaces'!$B$78:$B$81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Spaces'!$G$78:$G$81</c:f>
              <c:numCache>
                <c:formatCode>0.00%</c:formatCode>
                <c:ptCount val="4"/>
                <c:pt idx="0" formatCode="0.0######%">
                  <c:v>3.3300000000000003E-2</c:v>
                </c:pt>
                <c:pt idx="1">
                  <c:v>2.98E-2</c:v>
                </c:pt>
                <c:pt idx="2">
                  <c:v>3.3700000000000001E-2</c:v>
                </c:pt>
                <c:pt idx="3">
                  <c:v>2.5000000000000001E-2</c:v>
                </c:pt>
              </c:numCache>
            </c:numRef>
          </c:val>
        </c:ser>
        <c:ser>
          <c:idx val="2"/>
          <c:order val="2"/>
          <c:tx>
            <c:strRef>
              <c:f>'Places and Spaces'!$C$77</c:f>
              <c:strCache>
                <c:ptCount val="1"/>
                <c:pt idx="0">
                  <c:v>Car as driver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'Places and Spaces'!$B$78:$B$81</c:f>
              <c:strCache>
                <c:ptCount val="4"/>
                <c:pt idx="0">
                  <c:v>Wyndham</c:v>
                </c:pt>
                <c:pt idx="1">
                  <c:v>Greater Melbourne</c:v>
                </c:pt>
                <c:pt idx="2">
                  <c:v>Western Region </c:v>
                </c:pt>
                <c:pt idx="3">
                  <c:v>Victoria</c:v>
                </c:pt>
              </c:strCache>
            </c:strRef>
          </c:cat>
          <c:val>
            <c:numRef>
              <c:f>'Places and Spaces'!$C$78:$C$81</c:f>
              <c:numCache>
                <c:formatCode>0.00%</c:formatCode>
                <c:ptCount val="4"/>
                <c:pt idx="0" formatCode="0.0######%">
                  <c:v>0.67120000000000002</c:v>
                </c:pt>
                <c:pt idx="1">
                  <c:v>0.62460000000000004</c:v>
                </c:pt>
                <c:pt idx="2">
                  <c:v>0.64970000000000006</c:v>
                </c:pt>
                <c:pt idx="3">
                  <c:v>0.63759999999999994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671680"/>
        <c:axId val="249673216"/>
      </c:barChart>
      <c:catAx>
        <c:axId val="24967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49673216"/>
        <c:crosses val="autoZero"/>
        <c:auto val="1"/>
        <c:lblAlgn val="ctr"/>
        <c:lblOffset val="100"/>
        <c:noMultiLvlLbl val="0"/>
      </c:catAx>
      <c:valAx>
        <c:axId val="2496732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967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35657527808988"/>
          <c:y val="0.37496547280927017"/>
          <c:w val="0.20243631306372392"/>
          <c:h val="0.3515386821460595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'Places and Spaces'!$B$84:$B$87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'Places and Spaces'!$C$84:$C$87</c:f>
              <c:numCache>
                <c:formatCode>0.00%</c:formatCode>
                <c:ptCount val="4"/>
                <c:pt idx="0">
                  <c:v>0.161</c:v>
                </c:pt>
                <c:pt idx="1">
                  <c:v>0.13800000000000001</c:v>
                </c:pt>
                <c:pt idx="2">
                  <c:v>9.0999999999999998E-2</c:v>
                </c:pt>
                <c:pt idx="3">
                  <c:v>7.3999999999999996E-2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689984"/>
        <c:axId val="249691520"/>
      </c:lineChart>
      <c:catAx>
        <c:axId val="24968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691520"/>
        <c:crosses val="autoZero"/>
        <c:auto val="1"/>
        <c:lblAlgn val="ctr"/>
        <c:lblOffset val="100"/>
        <c:noMultiLvlLbl val="0"/>
      </c:catAx>
      <c:valAx>
        <c:axId val="24969152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49689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D7568-2C1B-40C3-BCA3-482C174C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1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3860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3</cp:revision>
  <dcterms:created xsi:type="dcterms:W3CDTF">2017-11-15T21:41:00Z</dcterms:created>
  <dcterms:modified xsi:type="dcterms:W3CDTF">2017-11-15T21:42:00Z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A1702572</vt:lpwstr>
  </property>
  <property fmtid="{D5CDD505-2E9C-101B-9397-08002B2CF9AE}" pid="4" name="Objective-Title">
    <vt:lpwstr>City Plan - Strategic Indicators - Places and Spaces  9.06.17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2017-06-08T23:58:10Z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2017-11-15T21:36:00Z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16.1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