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2CA6" w:rsidRPr="00030E4F" w:rsidRDefault="00430DB0" w:rsidP="00912CA6">
      <w:pPr>
        <w:pStyle w:val="Header02"/>
        <w:rPr>
          <w:rFonts w:asciiTheme="majorHAnsi" w:hAnsiTheme="majorHAnsi"/>
        </w:rPr>
      </w:pPr>
      <w:r w:rsidRPr="00030E4F">
        <w:rPr>
          <w:rFonts w:asciiTheme="majorHAnsi" w:hAnsiTheme="maj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EE40F5" wp14:editId="133EB4AC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892040" cy="1043940"/>
                <wp:effectExtent l="0" t="0" r="3810" b="3810"/>
                <wp:wrapThrough wrapText="bothSides">
                  <wp:wrapPolygon edited="0">
                    <wp:start x="0" y="0"/>
                    <wp:lineTo x="0" y="21285"/>
                    <wp:lineTo x="21533" y="21285"/>
                    <wp:lineTo x="2153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DE6" w:rsidRPr="00912CA6" w:rsidRDefault="00912CA6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912CA6">
                              <w:rPr>
                                <w:sz w:val="80"/>
                                <w:szCs w:val="80"/>
                              </w:rPr>
                              <w:t>People and Community</w:t>
                            </w:r>
                            <w:r w:rsidR="00FC0DE6" w:rsidRPr="00912CA6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FC0DE6" w:rsidRPr="00DF1843" w:rsidRDefault="00912CA6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BA7AB7">
                              <w:t xml:space="preserve"> – Wyndham city plan 2017-21</w:t>
                            </w:r>
                          </w:p>
                          <w:p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85.2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" filled="f" stroked="f">
                <v:textbox inset="0,0,0,0">
                  <w:txbxContent>
                    <w:p w:rsidR="00FC0DE6" w:rsidRPr="00912CA6" w:rsidRDefault="00912CA6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912CA6">
                        <w:rPr>
                          <w:sz w:val="80"/>
                          <w:szCs w:val="80"/>
                        </w:rPr>
                        <w:t>People and Community</w:t>
                      </w:r>
                      <w:r w:rsidR="00FC0DE6" w:rsidRPr="00912CA6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:rsidR="00FC0DE6" w:rsidRPr="00DF1843" w:rsidRDefault="00912CA6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BA7AB7">
                        <w:t xml:space="preserve"> – Wyndham city plan 2017-21</w:t>
                      </w:r>
                    </w:p>
                    <w:p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 w:rsidRPr="00030E4F">
        <w:rPr>
          <w:rFonts w:asciiTheme="majorHAnsi" w:hAnsiTheme="majorHAnsi"/>
        </w:rPr>
        <w:t xml:space="preserve"> </w:t>
      </w: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912CA6" w:rsidRPr="00030E4F" w:rsidRDefault="00912CA6" w:rsidP="00912CA6">
      <w:pPr>
        <w:rPr>
          <w:rFonts w:asciiTheme="majorHAnsi" w:hAnsiTheme="majorHAnsi"/>
        </w:rPr>
      </w:pPr>
    </w:p>
    <w:p w:rsidR="005B752A" w:rsidRPr="005B752A" w:rsidRDefault="005B752A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5B752A">
        <w:rPr>
          <w:rFonts w:asciiTheme="majorHAnsi" w:hAnsiTheme="majorHAnsi"/>
          <w:color w:val="17365D" w:themeColor="text2" w:themeShade="BF"/>
          <w:sz w:val="28"/>
          <w:szCs w:val="28"/>
        </w:rPr>
        <w:t>Arts and Culture</w:t>
      </w:r>
    </w:p>
    <w:p w:rsidR="00912CA6" w:rsidRPr="001C5EA2" w:rsidRDefault="00912CA6" w:rsidP="00912CA6">
      <w:pPr>
        <w:spacing w:before="60" w:afterLines="60" w:after="144" w:line="240" w:lineRule="auto"/>
        <w:rPr>
          <w:rFonts w:asciiTheme="majorHAnsi" w:hAnsiTheme="majorHAnsi"/>
          <w:b/>
        </w:rPr>
      </w:pPr>
      <w:r w:rsidRPr="001C5EA2">
        <w:rPr>
          <w:rFonts w:asciiTheme="majorHAnsi" w:hAnsiTheme="majorHAnsi"/>
          <w:b/>
        </w:rPr>
        <w:t xml:space="preserve">Community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 xml:space="preserve">atisfaction </w:t>
      </w:r>
      <w:r w:rsidR="00A67EE5" w:rsidRPr="001C5EA2">
        <w:rPr>
          <w:rFonts w:asciiTheme="majorHAnsi" w:hAnsiTheme="majorHAnsi"/>
          <w:b/>
        </w:rPr>
        <w:t>with</w:t>
      </w:r>
      <w:r w:rsidRPr="001C5EA2">
        <w:rPr>
          <w:rFonts w:asciiTheme="majorHAnsi" w:hAnsiTheme="majorHAnsi"/>
          <w:b/>
        </w:rPr>
        <w:t xml:space="preserve"> </w:t>
      </w:r>
      <w:r w:rsidR="001C5EA2" w:rsidRPr="001C5EA2">
        <w:rPr>
          <w:rFonts w:asciiTheme="majorHAnsi" w:hAnsiTheme="majorHAnsi"/>
          <w:b/>
        </w:rPr>
        <w:t>A</w:t>
      </w:r>
      <w:r w:rsidRPr="001C5EA2">
        <w:rPr>
          <w:rFonts w:asciiTheme="majorHAnsi" w:hAnsiTheme="majorHAnsi"/>
          <w:b/>
        </w:rPr>
        <w:t xml:space="preserve">rts and </w:t>
      </w:r>
      <w:r w:rsidR="001C5EA2" w:rsidRPr="001C5EA2">
        <w:rPr>
          <w:rFonts w:asciiTheme="majorHAnsi" w:hAnsiTheme="majorHAnsi"/>
          <w:b/>
        </w:rPr>
        <w:t>C</w:t>
      </w:r>
      <w:r w:rsidRPr="001C5EA2">
        <w:rPr>
          <w:rFonts w:asciiTheme="majorHAnsi" w:hAnsiTheme="majorHAnsi"/>
          <w:b/>
        </w:rPr>
        <w:t xml:space="preserve">ultural </w:t>
      </w:r>
      <w:r w:rsidR="001C5EA2" w:rsidRPr="001C5EA2">
        <w:rPr>
          <w:rFonts w:asciiTheme="majorHAnsi" w:hAnsiTheme="majorHAnsi"/>
          <w:b/>
        </w:rPr>
        <w:t>S</w:t>
      </w:r>
      <w:r w:rsidRPr="001C5EA2">
        <w:rPr>
          <w:rFonts w:asciiTheme="majorHAnsi" w:hAnsiTheme="majorHAnsi"/>
          <w:b/>
        </w:rPr>
        <w:t>ervices, 2013 to 2016</w:t>
      </w:r>
      <w:r w:rsidR="00B41072" w:rsidRPr="001C5EA2">
        <w:rPr>
          <w:rStyle w:val="FootnoteReference"/>
          <w:rFonts w:asciiTheme="majorHAnsi" w:hAnsiTheme="majorHAnsi"/>
          <w:b/>
        </w:rPr>
        <w:footnoteReference w:id="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6"/>
        <w:gridCol w:w="3161"/>
      </w:tblGrid>
      <w:tr w:rsidR="00912CA6" w:rsidRPr="00030E4F" w:rsidTr="0088578E">
        <w:tc>
          <w:tcPr>
            <w:tcW w:w="5736" w:type="dxa"/>
          </w:tcPr>
          <w:p w:rsidR="00912CA6" w:rsidRPr="001C5EA2" w:rsidRDefault="00912CA6" w:rsidP="00912CA6">
            <w:pPr>
              <w:spacing w:before="60" w:afterLines="60" w:after="144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1C5EA2">
              <w:rPr>
                <w:rFonts w:asciiTheme="majorHAnsi" w:hAnsiTheme="majorHAnsi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7036E26" wp14:editId="69A575CE">
                  <wp:extent cx="3492500" cy="2095500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88578E" w:rsidRPr="001C5EA2" w:rsidRDefault="0088578E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</w:p>
          <w:p w:rsidR="00912CA6" w:rsidRPr="001C5EA2" w:rsidRDefault="00B41072" w:rsidP="00912CA6">
            <w:pPr>
              <w:spacing w:before="60" w:afterLines="60" w:after="144" w:line="240" w:lineRule="auto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Community satisfaction with arts and cultural services increased gradually between 2013 and 2015. In 2016, there was a </w:t>
            </w:r>
            <w:r w:rsidRPr="001C5EA2">
              <w:rPr>
                <w:rFonts w:asciiTheme="majorHAnsi" w:hAnsiTheme="majorHAnsi"/>
                <w:b/>
              </w:rPr>
              <w:t>slight decrease in overall satisfaction</w:t>
            </w:r>
            <w:r w:rsidRPr="001C5EA2">
              <w:rPr>
                <w:rFonts w:asciiTheme="majorHAnsi" w:hAnsiTheme="majorHAnsi"/>
              </w:rPr>
              <w:t xml:space="preserve"> rating, from 7.86 out of 10 to 7.45</w:t>
            </w:r>
            <w:r w:rsidR="0088578E" w:rsidRPr="001C5EA2">
              <w:rPr>
                <w:rFonts w:asciiTheme="majorHAnsi" w:hAnsiTheme="majorHAnsi"/>
              </w:rPr>
              <w:t>.</w:t>
            </w:r>
          </w:p>
        </w:tc>
      </w:tr>
    </w:tbl>
    <w:p w:rsidR="00B41072" w:rsidRPr="006A62D9" w:rsidRDefault="00B41072" w:rsidP="00282417">
      <w:pPr>
        <w:pStyle w:val="Header03"/>
        <w:spacing w:after="120"/>
        <w:rPr>
          <w:rFonts w:asciiTheme="majorHAnsi" w:hAnsiTheme="majorHAnsi"/>
          <w:color w:val="1F497D" w:themeColor="text2"/>
          <w:sz w:val="28"/>
          <w:szCs w:val="28"/>
        </w:rPr>
      </w:pPr>
      <w:r w:rsidRPr="006A62D9">
        <w:rPr>
          <w:rFonts w:asciiTheme="majorHAnsi" w:hAnsiTheme="majorHAnsi"/>
          <w:color w:val="1F497D" w:themeColor="text2"/>
          <w:sz w:val="28"/>
          <w:szCs w:val="28"/>
        </w:rPr>
        <w:t xml:space="preserve">Physical Wellbeing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B41072" w:rsidRPr="008E7FB6" w:rsidTr="001C5EA2">
        <w:trPr>
          <w:trHeight w:val="8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Proportion (%) </w:t>
            </w:r>
            <w:r w:rsidR="001C5EA2" w:rsidRPr="001C5EA2">
              <w:rPr>
                <w:rFonts w:asciiTheme="majorHAnsi" w:hAnsiTheme="majorHAnsi"/>
                <w:b/>
              </w:rPr>
              <w:t>A</w:t>
            </w:r>
            <w:r w:rsidRPr="001C5EA2">
              <w:rPr>
                <w:rFonts w:asciiTheme="majorHAnsi" w:hAnsiTheme="majorHAnsi"/>
                <w:b/>
              </w:rPr>
              <w:t xml:space="preserve">dult </w:t>
            </w:r>
            <w:r w:rsidR="001C5EA2" w:rsidRPr="001C5EA2">
              <w:rPr>
                <w:rFonts w:asciiTheme="majorHAnsi" w:hAnsiTheme="majorHAnsi"/>
                <w:b/>
              </w:rPr>
              <w:t>P</w:t>
            </w:r>
            <w:r w:rsidRPr="001C5EA2">
              <w:rPr>
                <w:rFonts w:asciiTheme="majorHAnsi" w:hAnsiTheme="majorHAnsi"/>
                <w:b/>
              </w:rPr>
              <w:t xml:space="preserve">opulation </w:t>
            </w:r>
            <w:r w:rsidR="001C5EA2" w:rsidRPr="001C5EA2">
              <w:rPr>
                <w:rFonts w:asciiTheme="majorHAnsi" w:hAnsiTheme="majorHAnsi"/>
                <w:b/>
              </w:rPr>
              <w:t>T</w:t>
            </w:r>
            <w:r w:rsidRPr="001C5EA2">
              <w:rPr>
                <w:rFonts w:asciiTheme="majorHAnsi" w:hAnsiTheme="majorHAnsi"/>
                <w:b/>
              </w:rPr>
              <w:t xml:space="preserve">hat is </w:t>
            </w:r>
            <w:r w:rsidR="001C5EA2" w:rsidRPr="001C5EA2">
              <w:rPr>
                <w:rFonts w:asciiTheme="majorHAnsi" w:hAnsiTheme="majorHAnsi"/>
                <w:b/>
              </w:rPr>
              <w:t>O</w:t>
            </w:r>
            <w:r w:rsidRPr="001C5EA2">
              <w:rPr>
                <w:rFonts w:asciiTheme="majorHAnsi" w:hAnsiTheme="majorHAnsi"/>
                <w:b/>
              </w:rPr>
              <w:t>bese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5B752A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Average </w:t>
            </w:r>
            <w:r w:rsidR="001C5EA2">
              <w:rPr>
                <w:rFonts w:asciiTheme="majorHAnsi" w:hAnsiTheme="majorHAnsi"/>
                <w:b/>
              </w:rPr>
              <w:t>S</w:t>
            </w:r>
            <w:r w:rsidRPr="001C5EA2">
              <w:rPr>
                <w:rFonts w:asciiTheme="majorHAnsi" w:hAnsiTheme="majorHAnsi"/>
                <w:b/>
              </w:rPr>
              <w:t xml:space="preserve">erves per day of </w:t>
            </w:r>
            <w:r w:rsidR="001C5EA2">
              <w:rPr>
                <w:rFonts w:asciiTheme="majorHAnsi" w:hAnsiTheme="majorHAnsi"/>
                <w:b/>
              </w:rPr>
              <w:t>V</w:t>
            </w:r>
            <w:r w:rsidRPr="001C5EA2">
              <w:rPr>
                <w:rFonts w:asciiTheme="majorHAnsi" w:hAnsiTheme="majorHAnsi"/>
                <w:b/>
              </w:rPr>
              <w:t>egetables</w:t>
            </w:r>
            <w:r w:rsidR="00FC18EB" w:rsidRPr="001C5EA2">
              <w:rPr>
                <w:rFonts w:asciiTheme="majorHAnsi" w:hAnsiTheme="majorHAnsi"/>
                <w:b/>
              </w:rPr>
              <w:t>, 2014</w:t>
            </w:r>
            <w:r w:rsidR="00F3725B" w:rsidRPr="001C5EA2">
              <w:rPr>
                <w:rStyle w:val="FootnoteReference"/>
                <w:rFonts w:asciiTheme="majorHAnsi" w:hAnsiTheme="majorHAnsi"/>
                <w:b/>
              </w:rPr>
              <w:footnoteReference w:id="2"/>
            </w:r>
          </w:p>
        </w:tc>
      </w:tr>
      <w:tr w:rsidR="00B41072" w:rsidRPr="008E7FB6" w:rsidTr="001C5EA2">
        <w:trPr>
          <w:trHeight w:val="176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B41072" w:rsidP="001C5EA2">
            <w:pPr>
              <w:jc w:val="center"/>
              <w:rPr>
                <w:rFonts w:asciiTheme="majorHAnsi" w:hAnsiTheme="majorHAnsi"/>
                <w:b/>
              </w:rPr>
            </w:pPr>
            <w:r w:rsidRPr="001C5EA2">
              <w:rPr>
                <w:rFonts w:asciiTheme="majorHAnsi" w:hAnsiTheme="majorHAnsi"/>
                <w:b/>
              </w:rPr>
              <w:t xml:space="preserve">A quarter of Wyndham adults </w:t>
            </w:r>
            <w:r w:rsidRPr="001C5EA2">
              <w:rPr>
                <w:rFonts w:asciiTheme="majorHAnsi" w:hAnsiTheme="majorHAnsi"/>
              </w:rPr>
              <w:t>are obese (25%), compared to 19% of adults Victoria wide</w:t>
            </w:r>
            <w:r w:rsidR="001C1D85" w:rsidRPr="001C5EA2">
              <w:rPr>
                <w:rFonts w:asciiTheme="majorHAnsi" w:hAnsiTheme="majorHAnsi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072" w:rsidRPr="001C5EA2" w:rsidRDefault="00B41072" w:rsidP="001C5EA2">
            <w:pPr>
              <w:jc w:val="center"/>
              <w:rPr>
                <w:rFonts w:asciiTheme="majorHAnsi" w:hAnsiTheme="majorHAnsi"/>
              </w:rPr>
            </w:pPr>
            <w:r w:rsidRPr="001C5EA2">
              <w:rPr>
                <w:rFonts w:asciiTheme="majorHAnsi" w:hAnsiTheme="majorHAnsi"/>
              </w:rPr>
              <w:t xml:space="preserve">Wyndham adults eat on average </w:t>
            </w:r>
            <w:r w:rsidRPr="001C5EA2">
              <w:rPr>
                <w:rFonts w:asciiTheme="majorHAnsi" w:hAnsiTheme="majorHAnsi"/>
                <w:b/>
              </w:rPr>
              <w:t>2.1 vegetables per day,</w:t>
            </w:r>
            <w:r w:rsidRPr="001C5EA2">
              <w:rPr>
                <w:rFonts w:asciiTheme="majorHAnsi" w:hAnsiTheme="majorHAnsi"/>
              </w:rPr>
              <w:t xml:space="preserve"> which is only </w:t>
            </w:r>
            <w:r w:rsidRPr="001C5EA2">
              <w:rPr>
                <w:rFonts w:asciiTheme="majorHAnsi" w:hAnsiTheme="majorHAnsi"/>
                <w:b/>
              </w:rPr>
              <w:t>slightly less than the average across Victoria (2.2)</w:t>
            </w:r>
            <w:r w:rsidR="001C1D85" w:rsidRPr="001C5EA2">
              <w:rPr>
                <w:rFonts w:asciiTheme="majorHAnsi" w:hAnsiTheme="majorHAnsi"/>
                <w:b/>
              </w:rPr>
              <w:t>,</w:t>
            </w:r>
            <w:r w:rsidR="001C1D85" w:rsidRPr="001C5EA2">
              <w:rPr>
                <w:rFonts w:asciiTheme="majorHAnsi" w:hAnsiTheme="majorHAnsi"/>
              </w:rPr>
              <w:t xml:space="preserve"> and less than the recommended amount of 5 per day.</w:t>
            </w:r>
          </w:p>
        </w:tc>
      </w:tr>
    </w:tbl>
    <w:p w:rsidR="00282417" w:rsidRDefault="00282417" w:rsidP="00912CA6">
      <w:pPr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617441" w:rsidRDefault="00617441" w:rsidP="00282417">
      <w:pPr>
        <w:spacing w:after="120"/>
        <w:rPr>
          <w:rFonts w:asciiTheme="majorHAnsi" w:hAnsiTheme="majorHAnsi"/>
          <w:b/>
          <w:sz w:val="24"/>
          <w:szCs w:val="24"/>
        </w:rPr>
      </w:pPr>
    </w:p>
    <w:p w:rsidR="00BB0AEE" w:rsidRPr="000738E6" w:rsidRDefault="001C1D85" w:rsidP="00282417">
      <w:pPr>
        <w:spacing w:after="120"/>
        <w:rPr>
          <w:rFonts w:asciiTheme="majorHAnsi" w:hAnsiTheme="majorHAnsi"/>
          <w:b/>
        </w:rPr>
      </w:pPr>
      <w:r w:rsidRPr="000738E6">
        <w:rPr>
          <w:rFonts w:asciiTheme="majorHAnsi" w:hAnsiTheme="majorHAnsi"/>
          <w:b/>
        </w:rPr>
        <w:lastRenderedPageBreak/>
        <w:t xml:space="preserve">Percentage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dults that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ngage in </w:t>
      </w:r>
      <w:r w:rsidR="000738E6">
        <w:rPr>
          <w:rFonts w:asciiTheme="majorHAnsi" w:hAnsiTheme="majorHAnsi"/>
          <w:b/>
        </w:rPr>
        <w:t>S</w:t>
      </w:r>
      <w:r w:rsidRPr="000738E6">
        <w:rPr>
          <w:rFonts w:asciiTheme="majorHAnsi" w:hAnsiTheme="majorHAnsi"/>
          <w:b/>
        </w:rPr>
        <w:t xml:space="preserve">ufficient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mount of </w:t>
      </w:r>
      <w:r w:rsidR="000738E6">
        <w:rPr>
          <w:rFonts w:asciiTheme="majorHAnsi" w:hAnsiTheme="majorHAnsi"/>
          <w:b/>
        </w:rPr>
        <w:t>P</w:t>
      </w:r>
      <w:r w:rsidRPr="000738E6">
        <w:rPr>
          <w:rFonts w:asciiTheme="majorHAnsi" w:hAnsiTheme="majorHAnsi"/>
          <w:b/>
        </w:rPr>
        <w:t xml:space="preserve">hysical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 xml:space="preserve">ctivity </w:t>
      </w:r>
      <w:r w:rsidR="000738E6">
        <w:rPr>
          <w:rFonts w:asciiTheme="majorHAnsi" w:hAnsiTheme="majorHAnsi"/>
          <w:b/>
        </w:rPr>
        <w:t>E</w:t>
      </w:r>
      <w:r w:rsidRPr="000738E6">
        <w:rPr>
          <w:rFonts w:asciiTheme="majorHAnsi" w:hAnsiTheme="majorHAnsi"/>
          <w:b/>
        </w:rPr>
        <w:t xml:space="preserve">ach </w:t>
      </w:r>
      <w:r w:rsidR="000738E6">
        <w:rPr>
          <w:rFonts w:asciiTheme="majorHAnsi" w:hAnsiTheme="majorHAnsi"/>
          <w:b/>
        </w:rPr>
        <w:t>W</w:t>
      </w:r>
      <w:r w:rsidRPr="000738E6">
        <w:rPr>
          <w:rFonts w:asciiTheme="majorHAnsi" w:hAnsiTheme="majorHAnsi"/>
          <w:b/>
        </w:rPr>
        <w:t>eek</w:t>
      </w:r>
      <w:r w:rsidR="00FC18EB" w:rsidRPr="000738E6">
        <w:rPr>
          <w:rFonts w:asciiTheme="majorHAnsi" w:hAnsiTheme="majorHAnsi"/>
          <w:b/>
        </w:rPr>
        <w:t>, 2014</w:t>
      </w:r>
      <w:r w:rsidRPr="000738E6">
        <w:rPr>
          <w:rStyle w:val="FootnoteReference"/>
          <w:rFonts w:asciiTheme="majorHAnsi" w:hAnsiTheme="majorHAnsi"/>
          <w:b/>
        </w:rPr>
        <w:footnoteReference w:id="3"/>
      </w:r>
      <w:r w:rsidRPr="000738E6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6"/>
        <w:gridCol w:w="3943"/>
      </w:tblGrid>
      <w:tr w:rsidR="00B41072" w:rsidRPr="000738E6" w:rsidTr="0088578E">
        <w:tc>
          <w:tcPr>
            <w:tcW w:w="5946" w:type="dxa"/>
          </w:tcPr>
          <w:p w:rsidR="00B41072" w:rsidRPr="000738E6" w:rsidRDefault="00BB0AEE" w:rsidP="00912CA6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  <w:noProof/>
                <w:lang w:eastAsia="en-AU"/>
              </w:rPr>
              <w:drawing>
                <wp:inline distT="0" distB="0" distL="0" distR="0" wp14:anchorId="3EEDDAE7" wp14:editId="45F3ACAE">
                  <wp:extent cx="3621974" cy="2351315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943" w:type="dxa"/>
          </w:tcPr>
          <w:p w:rsidR="006A524B" w:rsidRPr="000738E6" w:rsidRDefault="006A524B" w:rsidP="006A524B">
            <w:pPr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</w:rPr>
              <w:t xml:space="preserve">The proportion of adults engaging in sufficient amounts of physical activity each week </w:t>
            </w:r>
            <w:r w:rsidR="006D04D4" w:rsidRPr="000738E6">
              <w:rPr>
                <w:rFonts w:asciiTheme="majorHAnsi" w:hAnsiTheme="majorHAnsi"/>
              </w:rPr>
              <w:t>was lower in</w:t>
            </w:r>
            <w:r w:rsidRPr="000738E6">
              <w:rPr>
                <w:rFonts w:asciiTheme="majorHAnsi" w:hAnsiTheme="majorHAnsi"/>
              </w:rPr>
              <w:t xml:space="preserve"> Wyndham,</w:t>
            </w:r>
            <w:r w:rsidR="006D04D4" w:rsidRPr="000738E6">
              <w:rPr>
                <w:rFonts w:asciiTheme="majorHAnsi" w:hAnsiTheme="majorHAnsi"/>
              </w:rPr>
              <w:t xml:space="preserve"> than</w:t>
            </w:r>
            <w:r w:rsidRPr="000738E6">
              <w:rPr>
                <w:rFonts w:asciiTheme="majorHAnsi" w:hAnsiTheme="majorHAnsi"/>
              </w:rPr>
              <w:t xml:space="preserve"> the North West Metro area and Victoria</w:t>
            </w:r>
            <w:r w:rsidR="006D04D4" w:rsidRPr="000738E6">
              <w:rPr>
                <w:rFonts w:asciiTheme="majorHAnsi" w:hAnsiTheme="majorHAnsi"/>
              </w:rPr>
              <w:t>.</w:t>
            </w:r>
          </w:p>
          <w:p w:rsidR="00BB0AEE" w:rsidRPr="000738E6" w:rsidRDefault="00BB0AEE" w:rsidP="006D04D4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</w:t>
            </w:r>
            <w:r w:rsidR="006D04D4" w:rsidRPr="000738E6">
              <w:rPr>
                <w:rFonts w:asciiTheme="majorHAnsi" w:hAnsiTheme="majorHAnsi"/>
              </w:rPr>
              <w:t>2014</w:t>
            </w:r>
            <w:r w:rsidRPr="000738E6">
              <w:rPr>
                <w:rFonts w:asciiTheme="majorHAnsi" w:hAnsiTheme="majorHAnsi"/>
                <w:b/>
              </w:rPr>
              <w:t xml:space="preserve">, </w:t>
            </w:r>
            <w:r w:rsidR="006D04D4" w:rsidRPr="000738E6">
              <w:rPr>
                <w:rFonts w:asciiTheme="majorHAnsi" w:hAnsiTheme="majorHAnsi"/>
                <w:b/>
              </w:rPr>
              <w:t>35</w:t>
            </w:r>
            <w:r w:rsidRPr="000738E6">
              <w:rPr>
                <w:rFonts w:asciiTheme="majorHAnsi" w:hAnsiTheme="majorHAnsi"/>
                <w:b/>
              </w:rPr>
              <w:t xml:space="preserve">% of </w:t>
            </w:r>
            <w:r w:rsidR="006A524B" w:rsidRPr="000738E6">
              <w:rPr>
                <w:rFonts w:asciiTheme="majorHAnsi" w:hAnsiTheme="majorHAnsi"/>
                <w:b/>
              </w:rPr>
              <w:t xml:space="preserve">Wyndham </w:t>
            </w:r>
            <w:r w:rsidRPr="000738E6">
              <w:rPr>
                <w:rFonts w:asciiTheme="majorHAnsi" w:hAnsiTheme="majorHAnsi"/>
                <w:b/>
              </w:rPr>
              <w:t xml:space="preserve">adults engaged in </w:t>
            </w:r>
            <w:r w:rsidR="006A524B" w:rsidRPr="000738E6">
              <w:rPr>
                <w:rFonts w:asciiTheme="majorHAnsi" w:hAnsiTheme="majorHAnsi"/>
                <w:b/>
              </w:rPr>
              <w:t>the recommended amount of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  <w:b/>
              </w:rPr>
              <w:t xml:space="preserve">physical </w:t>
            </w:r>
            <w:r w:rsidR="006A62D9" w:rsidRPr="000738E6">
              <w:rPr>
                <w:rFonts w:asciiTheme="majorHAnsi" w:hAnsiTheme="majorHAnsi"/>
                <w:b/>
              </w:rPr>
              <w:t>activity</w:t>
            </w:r>
            <w:r w:rsidR="006A524B" w:rsidRPr="000738E6">
              <w:rPr>
                <w:rFonts w:asciiTheme="majorHAnsi" w:hAnsiTheme="majorHAnsi"/>
                <w:b/>
              </w:rPr>
              <w:t xml:space="preserve"> each week,</w:t>
            </w:r>
            <w:r w:rsidR="006A524B" w:rsidRPr="000738E6">
              <w:rPr>
                <w:rFonts w:asciiTheme="majorHAnsi" w:hAnsiTheme="majorHAnsi"/>
              </w:rPr>
              <w:t xml:space="preserve"> compared to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  <w:r w:rsidR="006D04D4" w:rsidRPr="000738E6">
              <w:rPr>
                <w:rFonts w:asciiTheme="majorHAnsi" w:hAnsiTheme="majorHAnsi"/>
              </w:rPr>
              <w:t>39</w:t>
            </w:r>
            <w:r w:rsidR="006A524B" w:rsidRPr="000738E6">
              <w:rPr>
                <w:rFonts w:asciiTheme="majorHAnsi" w:hAnsiTheme="majorHAnsi"/>
              </w:rPr>
              <w:t>% of adults</w:t>
            </w:r>
            <w:r w:rsidR="006D04D4" w:rsidRPr="000738E6">
              <w:rPr>
                <w:rFonts w:asciiTheme="majorHAnsi" w:hAnsiTheme="majorHAnsi"/>
              </w:rPr>
              <w:t xml:space="preserve"> in the North West Metro area and 41% of adults Victoria wide.</w:t>
            </w:r>
            <w:r w:rsidR="006A524B" w:rsidRPr="000738E6">
              <w:rPr>
                <w:rFonts w:asciiTheme="majorHAnsi" w:hAnsiTheme="majorHAnsi"/>
                <w:b/>
              </w:rPr>
              <w:t xml:space="preserve"> </w:t>
            </w:r>
          </w:p>
        </w:tc>
      </w:tr>
    </w:tbl>
    <w:p w:rsidR="0065651F" w:rsidRPr="001C1D85" w:rsidRDefault="0065651F" w:rsidP="00282417">
      <w:pPr>
        <w:pStyle w:val="Header03"/>
        <w:spacing w:after="120"/>
        <w:rPr>
          <w:rFonts w:asciiTheme="majorHAnsi" w:hAnsiTheme="majorHAnsi"/>
          <w:sz w:val="28"/>
          <w:szCs w:val="28"/>
        </w:rPr>
      </w:pPr>
      <w:r w:rsidRPr="001C1D85">
        <w:rPr>
          <w:rFonts w:asciiTheme="majorHAnsi" w:hAnsiTheme="majorHAnsi"/>
          <w:sz w:val="28"/>
          <w:szCs w:val="28"/>
        </w:rPr>
        <w:t>Childhood Immunisation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44"/>
      </w:tblGrid>
      <w:tr w:rsidR="0065651F" w:rsidRPr="00030E4F" w:rsidTr="00282417">
        <w:trPr>
          <w:trHeight w:val="273"/>
        </w:trPr>
        <w:tc>
          <w:tcPr>
            <w:tcW w:w="6487" w:type="dxa"/>
            <w:shd w:val="clear" w:color="auto" w:fill="auto"/>
          </w:tcPr>
          <w:p w:rsidR="0065651F" w:rsidRPr="000738E6" w:rsidRDefault="00FC18EB" w:rsidP="00282417">
            <w:pPr>
              <w:spacing w:after="120"/>
              <w:rPr>
                <w:rFonts w:asciiTheme="majorHAnsi" w:hAnsiTheme="majorHAnsi"/>
                <w:b/>
              </w:rPr>
            </w:pPr>
            <w:r w:rsidRPr="000738E6">
              <w:rPr>
                <w:rFonts w:asciiTheme="majorHAnsi" w:hAnsiTheme="majorHAnsi"/>
                <w:b/>
              </w:rPr>
              <w:t>Proportion of Fully Immunised Children</w:t>
            </w:r>
            <w:r w:rsidR="0065651F" w:rsidRPr="000738E6">
              <w:rPr>
                <w:rFonts w:asciiTheme="majorHAnsi" w:hAnsiTheme="majorHAnsi"/>
                <w:b/>
              </w:rPr>
              <w:t>, 2015</w:t>
            </w:r>
            <w:r w:rsidRPr="000738E6">
              <w:rPr>
                <w:rStyle w:val="FootnoteReference"/>
                <w:rFonts w:asciiTheme="majorHAnsi" w:hAnsiTheme="majorHAnsi"/>
                <w:b/>
              </w:rPr>
              <w:footnoteReference w:id="4"/>
            </w:r>
          </w:p>
        </w:tc>
        <w:tc>
          <w:tcPr>
            <w:tcW w:w="3544" w:type="dxa"/>
            <w:shd w:val="clear" w:color="auto" w:fill="auto"/>
          </w:tcPr>
          <w:p w:rsidR="0065651F" w:rsidRPr="000738E6" w:rsidRDefault="0065651F" w:rsidP="005D01FF">
            <w:pPr>
              <w:rPr>
                <w:rFonts w:asciiTheme="majorHAnsi" w:hAnsiTheme="majorHAnsi"/>
              </w:rPr>
            </w:pPr>
          </w:p>
        </w:tc>
      </w:tr>
      <w:tr w:rsidR="0065651F" w:rsidRPr="00030E4F" w:rsidTr="00282417">
        <w:trPr>
          <w:trHeight w:val="3388"/>
        </w:trPr>
        <w:tc>
          <w:tcPr>
            <w:tcW w:w="6487" w:type="dxa"/>
            <w:shd w:val="clear" w:color="auto" w:fill="auto"/>
          </w:tcPr>
          <w:p w:rsidR="0065651F" w:rsidRPr="000738E6" w:rsidRDefault="0065651F" w:rsidP="005D01FF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48358EF1" wp14:editId="49B9A0A5">
                  <wp:extent cx="3800104" cy="2185060"/>
                  <wp:effectExtent l="0" t="0" r="0" b="5715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5651F" w:rsidRPr="000738E6" w:rsidRDefault="00A41C25" w:rsidP="00A41C25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There are a</w:t>
            </w:r>
            <w:r w:rsidRPr="000738E6">
              <w:rPr>
                <w:rFonts w:asciiTheme="majorHAnsi" w:hAnsiTheme="majorHAnsi"/>
                <w:b/>
              </w:rPr>
              <w:t xml:space="preserve"> slightly smaller proportion of immunised children in Wyndham </w:t>
            </w:r>
            <w:r w:rsidRPr="000738E6">
              <w:rPr>
                <w:rFonts w:asciiTheme="majorHAnsi" w:hAnsiTheme="majorHAnsi"/>
              </w:rPr>
              <w:t>compared to Victoria across all age groups.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="0065651F" w:rsidRPr="000738E6">
              <w:rPr>
                <w:rFonts w:asciiTheme="majorHAnsi" w:hAnsiTheme="majorHAnsi"/>
              </w:rPr>
              <w:t xml:space="preserve">   </w:t>
            </w:r>
          </w:p>
        </w:tc>
      </w:tr>
    </w:tbl>
    <w:p w:rsidR="0065651F" w:rsidRDefault="00282417" w:rsidP="00282417">
      <w:pPr>
        <w:spacing w:after="120"/>
        <w:rPr>
          <w:rFonts w:asciiTheme="majorHAnsi" w:hAnsiTheme="majorHAnsi"/>
          <w:color w:val="17365D" w:themeColor="text2" w:themeShade="BF"/>
          <w:sz w:val="28"/>
          <w:szCs w:val="28"/>
        </w:rPr>
      </w:pPr>
      <w:r w:rsidRPr="00282417">
        <w:rPr>
          <w:rFonts w:asciiTheme="majorHAnsi" w:hAnsiTheme="majorHAnsi"/>
          <w:color w:val="17365D" w:themeColor="text2" w:themeShade="BF"/>
          <w:sz w:val="28"/>
          <w:szCs w:val="28"/>
        </w:rPr>
        <w:t>Substance Abuse</w:t>
      </w:r>
    </w:p>
    <w:p w:rsidR="00282417" w:rsidRPr="000738E6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isk of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lcohol-</w:t>
      </w:r>
      <w:r w:rsidR="000738E6">
        <w:rPr>
          <w:rFonts w:asciiTheme="majorHAnsi" w:hAnsiTheme="majorHAnsi"/>
          <w:b/>
        </w:rPr>
        <w:t>R</w:t>
      </w:r>
      <w:r w:rsidRPr="000738E6">
        <w:rPr>
          <w:rFonts w:asciiTheme="majorHAnsi" w:hAnsiTheme="majorHAnsi"/>
          <w:b/>
        </w:rPr>
        <w:t xml:space="preserve">elated </w:t>
      </w:r>
      <w:r w:rsidR="000738E6">
        <w:rPr>
          <w:rFonts w:asciiTheme="majorHAnsi" w:hAnsiTheme="majorHAnsi"/>
          <w:b/>
        </w:rPr>
        <w:t>H</w:t>
      </w:r>
      <w:r w:rsidRPr="000738E6">
        <w:rPr>
          <w:rFonts w:asciiTheme="majorHAnsi" w:hAnsiTheme="majorHAnsi"/>
          <w:b/>
        </w:rPr>
        <w:t xml:space="preserve">arm in </w:t>
      </w:r>
      <w:r w:rsidR="000738E6">
        <w:rPr>
          <w:rFonts w:asciiTheme="majorHAnsi" w:hAnsiTheme="majorHAnsi"/>
          <w:b/>
        </w:rPr>
        <w:t>A</w:t>
      </w:r>
      <w:r w:rsidRPr="000738E6">
        <w:rPr>
          <w:rFonts w:asciiTheme="majorHAnsi" w:hAnsiTheme="majorHAnsi"/>
          <w:b/>
        </w:rPr>
        <w:t>dults, 2014</w:t>
      </w:r>
      <w:r w:rsidRPr="000738E6">
        <w:rPr>
          <w:rStyle w:val="FootnoteReference"/>
          <w:rFonts w:asciiTheme="majorHAnsi" w:hAnsiTheme="majorHAnsi"/>
          <w:b/>
        </w:rPr>
        <w:footnoteReference w:id="5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439"/>
      </w:tblGrid>
      <w:tr w:rsidR="00B37765" w:rsidRPr="000738E6" w:rsidTr="00282417">
        <w:tc>
          <w:tcPr>
            <w:tcW w:w="5646" w:type="dxa"/>
          </w:tcPr>
          <w:p w:rsidR="00B37765" w:rsidRPr="000738E6" w:rsidRDefault="00B37765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noProof/>
                <w:lang w:eastAsia="en-AU"/>
              </w:rPr>
              <w:drawing>
                <wp:inline distT="0" distB="0" distL="0" distR="0" wp14:anchorId="0E9A758B" wp14:editId="569BFEB5">
                  <wp:extent cx="3431969" cy="1793174"/>
                  <wp:effectExtent l="0" t="0" r="0" b="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:rsidR="00C73934" w:rsidRPr="000738E6" w:rsidRDefault="005720A0" w:rsidP="005720A0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>J</w:t>
            </w:r>
            <w:r w:rsidR="00C73934" w:rsidRPr="000738E6">
              <w:rPr>
                <w:rFonts w:asciiTheme="majorHAnsi" w:hAnsiTheme="majorHAnsi"/>
              </w:rPr>
              <w:t xml:space="preserve">ust </w:t>
            </w:r>
            <w:r w:rsidR="00C73934" w:rsidRPr="000738E6">
              <w:rPr>
                <w:rFonts w:asciiTheme="majorHAnsi" w:hAnsiTheme="majorHAnsi"/>
                <w:b/>
              </w:rPr>
              <w:t>over half the adult</w:t>
            </w:r>
            <w:r w:rsidR="00C73934" w:rsidRPr="000738E6">
              <w:rPr>
                <w:rFonts w:asciiTheme="majorHAnsi" w:hAnsiTheme="majorHAnsi"/>
              </w:rPr>
              <w:t xml:space="preserve"> population of Wyndham (52%) </w:t>
            </w:r>
            <w:r w:rsidR="00C73934" w:rsidRPr="000738E6">
              <w:rPr>
                <w:rFonts w:asciiTheme="majorHAnsi" w:hAnsiTheme="majorHAnsi"/>
                <w:b/>
              </w:rPr>
              <w:t>face an increased risk of alcohol-related harm due to drinking behaviour,</w:t>
            </w:r>
            <w:r w:rsidRPr="000738E6">
              <w:rPr>
                <w:rFonts w:asciiTheme="majorHAnsi" w:hAnsiTheme="majorHAnsi"/>
                <w:b/>
              </w:rPr>
              <w:t xml:space="preserve"> </w:t>
            </w:r>
            <w:r w:rsidRPr="000738E6">
              <w:rPr>
                <w:rFonts w:asciiTheme="majorHAnsi" w:hAnsiTheme="majorHAnsi"/>
              </w:rPr>
              <w:t>compared to 54% of adults in the North West Metro area, and 59% of adults Victoria wide</w:t>
            </w:r>
            <w:r w:rsidR="00C73934" w:rsidRPr="000738E6">
              <w:rPr>
                <w:rFonts w:asciiTheme="majorHAnsi" w:hAnsiTheme="majorHAnsi"/>
              </w:rPr>
              <w:t>.</w:t>
            </w:r>
          </w:p>
        </w:tc>
      </w:tr>
    </w:tbl>
    <w:p w:rsidR="00B37765" w:rsidRPr="00282417" w:rsidRDefault="00282417" w:rsidP="00282417">
      <w:pPr>
        <w:spacing w:after="120"/>
        <w:rPr>
          <w:rFonts w:asciiTheme="majorHAnsi" w:hAnsiTheme="majorHAnsi"/>
          <w:b/>
        </w:rPr>
      </w:pPr>
      <w:r w:rsidRPr="00282417">
        <w:rPr>
          <w:rFonts w:asciiTheme="majorHAnsi" w:hAnsiTheme="majorHAnsi"/>
          <w:b/>
        </w:rPr>
        <w:lastRenderedPageBreak/>
        <w:t xml:space="preserve">Proportion of </w:t>
      </w:r>
      <w:r w:rsidR="000738E6">
        <w:rPr>
          <w:rFonts w:asciiTheme="majorHAnsi" w:hAnsiTheme="majorHAnsi"/>
          <w:b/>
        </w:rPr>
        <w:t>A</w:t>
      </w:r>
      <w:r w:rsidRPr="00282417">
        <w:rPr>
          <w:rFonts w:asciiTheme="majorHAnsi" w:hAnsiTheme="majorHAnsi"/>
          <w:b/>
        </w:rPr>
        <w:t xml:space="preserve">dults who are </w:t>
      </w:r>
      <w:r w:rsidR="000738E6">
        <w:rPr>
          <w:rFonts w:asciiTheme="majorHAnsi" w:hAnsiTheme="majorHAnsi"/>
          <w:b/>
        </w:rPr>
        <w:t>C</w:t>
      </w:r>
      <w:r w:rsidRPr="00282417">
        <w:rPr>
          <w:rFonts w:asciiTheme="majorHAnsi" w:hAnsiTheme="majorHAnsi"/>
          <w:b/>
        </w:rPr>
        <w:t xml:space="preserve">urrent </w:t>
      </w:r>
      <w:r w:rsidR="000738E6">
        <w:rPr>
          <w:rFonts w:asciiTheme="majorHAnsi" w:hAnsiTheme="majorHAnsi"/>
          <w:b/>
        </w:rPr>
        <w:t>S</w:t>
      </w:r>
      <w:r w:rsidRPr="00282417">
        <w:rPr>
          <w:rFonts w:asciiTheme="majorHAnsi" w:hAnsiTheme="majorHAnsi"/>
          <w:b/>
        </w:rPr>
        <w:t>mokers, 2008 to 2014</w:t>
      </w:r>
      <w:r>
        <w:rPr>
          <w:rStyle w:val="FootnoteReference"/>
          <w:rFonts w:asciiTheme="majorHAnsi" w:hAnsiTheme="majorHAnsi"/>
          <w:b/>
        </w:rPr>
        <w:footnoteReference w:id="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2872"/>
      </w:tblGrid>
      <w:tr w:rsidR="00B37765" w:rsidRPr="00030E4F" w:rsidTr="00282417">
        <w:tc>
          <w:tcPr>
            <w:tcW w:w="5316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73FE291" wp14:editId="48E3A706">
                  <wp:extent cx="3219450" cy="1931670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B37765" w:rsidRPr="000738E6" w:rsidRDefault="00D4515F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Similarly to rates across Victoria and the North West Metro area, </w:t>
            </w:r>
            <w:r w:rsidRPr="000738E6">
              <w:rPr>
                <w:rFonts w:asciiTheme="majorHAnsi" w:hAnsiTheme="majorHAnsi"/>
                <w:b/>
              </w:rPr>
              <w:t>around 13% of Wyndham adults smoke.</w:t>
            </w:r>
            <w:r w:rsidRPr="000738E6">
              <w:rPr>
                <w:rFonts w:asciiTheme="majorHAnsi" w:hAnsiTheme="majorHAnsi"/>
              </w:rPr>
              <w:t xml:space="preserve"> </w:t>
            </w:r>
          </w:p>
          <w:p w:rsidR="00D4515F" w:rsidRPr="008E7FB6" w:rsidRDefault="00D4515F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 xml:space="preserve">Between 2008 and 2014, the proportion of smokers in Wyndham has </w:t>
            </w:r>
            <w:r w:rsidRPr="000738E6">
              <w:rPr>
                <w:rFonts w:asciiTheme="majorHAnsi" w:hAnsiTheme="majorHAnsi"/>
                <w:b/>
              </w:rPr>
              <w:t>decreased by 10%.</w:t>
            </w:r>
          </w:p>
        </w:tc>
      </w:tr>
    </w:tbl>
    <w:p w:rsidR="00B37765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Mental Health </w:t>
      </w:r>
    </w:p>
    <w:p w:rsidR="00FE5CA9" w:rsidRPr="00FE5CA9" w:rsidRDefault="00FE5CA9" w:rsidP="00FE5CA9">
      <w:pPr>
        <w:spacing w:after="120"/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Lifetime </w:t>
      </w:r>
      <w:r w:rsidR="000738E6">
        <w:rPr>
          <w:rFonts w:asciiTheme="majorHAnsi" w:hAnsiTheme="majorHAnsi"/>
          <w:b/>
        </w:rPr>
        <w:t>P</w:t>
      </w:r>
      <w:r w:rsidRPr="00FE5CA9">
        <w:rPr>
          <w:rFonts w:asciiTheme="majorHAnsi" w:hAnsiTheme="majorHAnsi"/>
          <w:b/>
        </w:rPr>
        <w:t xml:space="preserve">revalence of </w:t>
      </w:r>
      <w:r w:rsidR="000738E6">
        <w:rPr>
          <w:rFonts w:asciiTheme="majorHAnsi" w:hAnsiTheme="majorHAnsi"/>
          <w:b/>
        </w:rPr>
        <w:t>D</w:t>
      </w:r>
      <w:r w:rsidRPr="00FE5CA9">
        <w:rPr>
          <w:rFonts w:asciiTheme="majorHAnsi" w:hAnsiTheme="majorHAnsi"/>
          <w:b/>
        </w:rPr>
        <w:t xml:space="preserve">epression and </w:t>
      </w:r>
      <w:r w:rsidR="000738E6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nxiety, 2014</w:t>
      </w:r>
      <w:r w:rsidRPr="00FE5CA9">
        <w:rPr>
          <w:rStyle w:val="FootnoteReference"/>
          <w:rFonts w:asciiTheme="majorHAnsi" w:hAnsiTheme="majorHAnsi"/>
          <w:b/>
        </w:rPr>
        <w:footnoteReference w:id="7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B37765" w:rsidRPr="00030E4F" w:rsidTr="00FE5CA9">
        <w:tc>
          <w:tcPr>
            <w:tcW w:w="5637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45ED85FD" wp14:editId="443A0769">
                  <wp:extent cx="3408218" cy="2125684"/>
                  <wp:effectExtent l="0" t="0" r="1905" b="825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37765" w:rsidRPr="000738E6" w:rsidRDefault="00710086" w:rsidP="00912CA6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The </w:t>
            </w:r>
            <w:r w:rsidR="008E7FB6" w:rsidRPr="000738E6">
              <w:rPr>
                <w:rFonts w:asciiTheme="majorHAnsi" w:hAnsiTheme="majorHAnsi"/>
              </w:rPr>
              <w:t>lifetime</w:t>
            </w:r>
            <w:r w:rsidRPr="000738E6">
              <w:rPr>
                <w:rFonts w:asciiTheme="majorHAnsi" w:hAnsiTheme="majorHAnsi"/>
              </w:rPr>
              <w:t xml:space="preserve"> prevalence rate</w:t>
            </w:r>
            <w:r w:rsidR="00DD6491" w:rsidRPr="000738E6">
              <w:rPr>
                <w:rFonts w:asciiTheme="majorHAnsi" w:hAnsiTheme="majorHAnsi"/>
              </w:rPr>
              <w:t xml:space="preserve"> of depression and anxiety</w:t>
            </w:r>
            <w:r w:rsidRPr="000738E6">
              <w:rPr>
                <w:rFonts w:asciiTheme="majorHAnsi" w:hAnsiTheme="majorHAnsi"/>
              </w:rPr>
              <w:t xml:space="preserve"> amongst adults in Wyndham has increased between 2011/12 </w:t>
            </w:r>
            <w:r w:rsidR="00DD6491" w:rsidRPr="000738E6">
              <w:rPr>
                <w:rFonts w:asciiTheme="majorHAnsi" w:hAnsiTheme="majorHAnsi"/>
              </w:rPr>
              <w:t>and 2014</w:t>
            </w:r>
            <w:r w:rsidRPr="000738E6">
              <w:rPr>
                <w:rFonts w:asciiTheme="majorHAnsi" w:hAnsiTheme="majorHAnsi"/>
              </w:rPr>
              <w:t xml:space="preserve">. </w:t>
            </w:r>
          </w:p>
          <w:p w:rsidR="00FE5CA9" w:rsidRPr="000738E6" w:rsidRDefault="00710086" w:rsidP="00DD6491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In 2014, </w:t>
            </w:r>
            <w:r w:rsidR="00DD6491" w:rsidRPr="000738E6">
              <w:rPr>
                <w:rFonts w:asciiTheme="majorHAnsi" w:hAnsiTheme="majorHAnsi"/>
                <w:b/>
              </w:rPr>
              <w:t>23</w:t>
            </w:r>
            <w:r w:rsidRPr="000738E6">
              <w:rPr>
                <w:rFonts w:asciiTheme="majorHAnsi" w:hAnsiTheme="majorHAnsi"/>
                <w:b/>
              </w:rPr>
              <w:t xml:space="preserve">% of Wyndham adults </w:t>
            </w:r>
            <w:r w:rsidR="00DD6491" w:rsidRPr="000738E6">
              <w:rPr>
                <w:rFonts w:asciiTheme="majorHAnsi" w:hAnsiTheme="majorHAnsi"/>
                <w:b/>
              </w:rPr>
              <w:t>had been diagnosed with depression o</w:t>
            </w:r>
            <w:r w:rsidR="00EE011E" w:rsidRPr="000738E6">
              <w:rPr>
                <w:rFonts w:asciiTheme="majorHAnsi" w:hAnsiTheme="majorHAnsi"/>
                <w:b/>
              </w:rPr>
              <w:t>r</w:t>
            </w:r>
            <w:r w:rsidR="00DD6491" w:rsidRPr="000738E6">
              <w:rPr>
                <w:rFonts w:asciiTheme="majorHAnsi" w:hAnsiTheme="majorHAnsi"/>
                <w:b/>
              </w:rPr>
              <w:t xml:space="preserve"> anxiety, compared to 19</w:t>
            </w:r>
            <w:r w:rsidR="00FE5CA9" w:rsidRPr="000738E6">
              <w:rPr>
                <w:rFonts w:asciiTheme="majorHAnsi" w:hAnsiTheme="majorHAnsi"/>
                <w:b/>
              </w:rPr>
              <w:t>%</w:t>
            </w:r>
            <w:r w:rsidR="00DD6491" w:rsidRPr="000738E6">
              <w:rPr>
                <w:rFonts w:asciiTheme="majorHAnsi" w:hAnsiTheme="majorHAnsi"/>
                <w:b/>
              </w:rPr>
              <w:t xml:space="preserve"> of adults in 2011/12.</w:t>
            </w:r>
            <w:r w:rsidR="00DD6491" w:rsidRPr="000738E6">
              <w:rPr>
                <w:rFonts w:asciiTheme="majorHAnsi" w:hAnsiTheme="majorHAnsi"/>
              </w:rPr>
              <w:t xml:space="preserve"> </w:t>
            </w:r>
          </w:p>
          <w:p w:rsidR="00710086" w:rsidRPr="008E7FB6" w:rsidRDefault="00DD6491" w:rsidP="00DD6491">
            <w:pPr>
              <w:rPr>
                <w:rFonts w:asciiTheme="majorHAnsi" w:hAnsiTheme="majorHAnsi"/>
                <w:sz w:val="24"/>
                <w:szCs w:val="24"/>
              </w:rPr>
            </w:pPr>
            <w:r w:rsidRPr="000738E6">
              <w:rPr>
                <w:rFonts w:asciiTheme="majorHAnsi" w:hAnsiTheme="majorHAnsi"/>
              </w:rPr>
              <w:t>The rate of depression and anxiety in Wyndham is only slightly lower than across the North and West Metro area and Victoria.</w:t>
            </w:r>
            <w:r w:rsidRPr="008E7FB6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B37765" w:rsidRPr="00FE5CA9" w:rsidRDefault="00B37765" w:rsidP="00912CA6">
      <w:pPr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t xml:space="preserve">Electronic Gaming Machines </w:t>
      </w:r>
    </w:p>
    <w:p w:rsidR="00FE5CA9" w:rsidRPr="00FE5CA9" w:rsidRDefault="00FE5CA9" w:rsidP="00912CA6">
      <w:pPr>
        <w:rPr>
          <w:rFonts w:asciiTheme="majorHAnsi" w:hAnsiTheme="majorHAnsi"/>
          <w:b/>
        </w:rPr>
      </w:pPr>
      <w:r w:rsidRPr="00FE5CA9">
        <w:rPr>
          <w:rFonts w:asciiTheme="majorHAnsi" w:hAnsiTheme="majorHAnsi"/>
          <w:b/>
        </w:rPr>
        <w:t xml:space="preserve">Number of </w:t>
      </w:r>
      <w:r w:rsidR="00561567">
        <w:rPr>
          <w:rFonts w:asciiTheme="majorHAnsi" w:hAnsiTheme="majorHAnsi"/>
          <w:b/>
        </w:rPr>
        <w:t>E</w:t>
      </w:r>
      <w:r w:rsidRPr="00FE5CA9">
        <w:rPr>
          <w:rFonts w:asciiTheme="majorHAnsi" w:hAnsiTheme="majorHAnsi"/>
          <w:b/>
        </w:rPr>
        <w:t xml:space="preserve">lectronic </w:t>
      </w:r>
      <w:r w:rsidR="00561567">
        <w:rPr>
          <w:rFonts w:asciiTheme="majorHAnsi" w:hAnsiTheme="majorHAnsi"/>
          <w:b/>
        </w:rPr>
        <w:t>G</w:t>
      </w:r>
      <w:r w:rsidRPr="00FE5CA9">
        <w:rPr>
          <w:rFonts w:asciiTheme="majorHAnsi" w:hAnsiTheme="majorHAnsi"/>
          <w:b/>
        </w:rPr>
        <w:t xml:space="preserve">aming </w:t>
      </w:r>
      <w:r w:rsidR="00561567">
        <w:rPr>
          <w:rFonts w:asciiTheme="majorHAnsi" w:hAnsiTheme="majorHAnsi"/>
          <w:b/>
        </w:rPr>
        <w:t>M</w:t>
      </w:r>
      <w:r w:rsidRPr="00FE5CA9">
        <w:rPr>
          <w:rFonts w:asciiTheme="majorHAnsi" w:hAnsiTheme="majorHAnsi"/>
          <w:b/>
        </w:rPr>
        <w:t xml:space="preserve">achines per 1,000 </w:t>
      </w:r>
      <w:r w:rsidR="00561567">
        <w:rPr>
          <w:rFonts w:asciiTheme="majorHAnsi" w:hAnsiTheme="majorHAnsi"/>
          <w:b/>
        </w:rPr>
        <w:t>A</w:t>
      </w:r>
      <w:r w:rsidRPr="00FE5CA9">
        <w:rPr>
          <w:rFonts w:asciiTheme="majorHAnsi" w:hAnsiTheme="majorHAnsi"/>
          <w:b/>
        </w:rPr>
        <w:t>dults</w:t>
      </w:r>
      <w:r>
        <w:rPr>
          <w:rFonts w:asciiTheme="majorHAnsi" w:hAnsiTheme="majorHAnsi"/>
          <w:b/>
        </w:rPr>
        <w:t>, 2015-16</w:t>
      </w:r>
      <w:r>
        <w:rPr>
          <w:rStyle w:val="FootnoteReference"/>
          <w:rFonts w:asciiTheme="majorHAnsi" w:hAnsiTheme="majorHAnsi"/>
          <w:b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0"/>
        <w:gridCol w:w="3354"/>
      </w:tblGrid>
      <w:tr w:rsidR="00B37765" w:rsidRPr="00030E4F" w:rsidTr="00FE5CA9">
        <w:tc>
          <w:tcPr>
            <w:tcW w:w="5766" w:type="dxa"/>
          </w:tcPr>
          <w:p w:rsidR="00B37765" w:rsidRPr="008E7FB6" w:rsidRDefault="00B37765" w:rsidP="00912CA6">
            <w:pPr>
              <w:rPr>
                <w:rFonts w:asciiTheme="majorHAnsi" w:hAnsiTheme="majorHAnsi"/>
                <w:sz w:val="24"/>
                <w:szCs w:val="24"/>
              </w:rPr>
            </w:pPr>
            <w:r w:rsidRPr="008E7FB6">
              <w:rPr>
                <w:rFonts w:asciiTheme="majorHAnsi" w:hAnsiTheme="majorHAnsi"/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A8C3376" wp14:editId="2F9F031F">
                  <wp:extent cx="4346369" cy="2125683"/>
                  <wp:effectExtent l="0" t="0" r="0" b="8255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3981" w:type="dxa"/>
          </w:tcPr>
          <w:p w:rsidR="00FE5CA9" w:rsidRDefault="00FE5CA9" w:rsidP="00FE5CA9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B37765" w:rsidRPr="000738E6" w:rsidRDefault="00FE5CA9" w:rsidP="00EE011E">
            <w:pPr>
              <w:spacing w:after="120"/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  <w:b/>
              </w:rPr>
              <w:t xml:space="preserve">In </w:t>
            </w:r>
            <w:r w:rsidR="00D4515F" w:rsidRPr="000738E6">
              <w:rPr>
                <w:rFonts w:asciiTheme="majorHAnsi" w:hAnsiTheme="majorHAnsi"/>
                <w:b/>
              </w:rPr>
              <w:t>Wy</w:t>
            </w:r>
            <w:r w:rsidRPr="000738E6">
              <w:rPr>
                <w:rFonts w:asciiTheme="majorHAnsi" w:hAnsiTheme="majorHAnsi"/>
                <w:b/>
              </w:rPr>
              <w:t>ndham, there are approximately 5.7</w:t>
            </w:r>
            <w:r w:rsidR="00D4515F" w:rsidRPr="000738E6">
              <w:rPr>
                <w:rFonts w:asciiTheme="majorHAnsi" w:hAnsiTheme="majorHAnsi"/>
                <w:b/>
              </w:rPr>
              <w:t xml:space="preserve"> Electronic Gaming Machines (EGMs</w:t>
            </w:r>
            <w:r w:rsidR="00D4515F" w:rsidRPr="000738E6">
              <w:rPr>
                <w:rFonts w:asciiTheme="majorHAnsi" w:hAnsiTheme="majorHAnsi"/>
              </w:rPr>
              <w:t>)</w:t>
            </w:r>
            <w:r w:rsidRPr="000738E6">
              <w:rPr>
                <w:rFonts w:asciiTheme="majorHAnsi" w:hAnsiTheme="majorHAnsi"/>
              </w:rPr>
              <w:t xml:space="preserve"> </w:t>
            </w:r>
            <w:r w:rsidR="00EE011E" w:rsidRPr="000738E6">
              <w:rPr>
                <w:rFonts w:asciiTheme="majorHAnsi" w:hAnsiTheme="majorHAnsi"/>
                <w:b/>
              </w:rPr>
              <w:t>p</w:t>
            </w:r>
            <w:r w:rsidRPr="000738E6">
              <w:rPr>
                <w:rFonts w:asciiTheme="majorHAnsi" w:hAnsiTheme="majorHAnsi"/>
                <w:b/>
              </w:rPr>
              <w:t>er 1,000 adults</w:t>
            </w:r>
            <w:r w:rsidR="00D4515F" w:rsidRPr="000738E6">
              <w:rPr>
                <w:rFonts w:asciiTheme="majorHAnsi" w:hAnsiTheme="majorHAnsi"/>
              </w:rPr>
              <w:t xml:space="preserve">. This is higher than other growth areas across Greater Melbourne, </w:t>
            </w:r>
            <w:r w:rsidR="00655026" w:rsidRPr="000738E6">
              <w:rPr>
                <w:rFonts w:asciiTheme="majorHAnsi" w:hAnsiTheme="majorHAnsi"/>
              </w:rPr>
              <w:t xml:space="preserve">including </w:t>
            </w:r>
            <w:r w:rsidRPr="000738E6">
              <w:rPr>
                <w:rFonts w:asciiTheme="majorHAnsi" w:hAnsiTheme="majorHAnsi"/>
              </w:rPr>
              <w:t>Hume (5.5</w:t>
            </w:r>
            <w:r w:rsidR="00D4515F" w:rsidRPr="000738E6">
              <w:rPr>
                <w:rFonts w:asciiTheme="majorHAnsi" w:hAnsiTheme="majorHAnsi"/>
              </w:rPr>
              <w:t>), Casey (4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 and Melton (5</w:t>
            </w:r>
            <w:r w:rsidRPr="000738E6">
              <w:rPr>
                <w:rFonts w:asciiTheme="majorHAnsi" w:hAnsiTheme="majorHAnsi"/>
              </w:rPr>
              <w:t>.0</w:t>
            </w:r>
            <w:r w:rsidR="00D4515F" w:rsidRPr="000738E6">
              <w:rPr>
                <w:rFonts w:asciiTheme="majorHAnsi" w:hAnsiTheme="majorHAnsi"/>
              </w:rPr>
              <w:t>).</w:t>
            </w:r>
          </w:p>
        </w:tc>
      </w:tr>
    </w:tbl>
    <w:p w:rsidR="00B37765" w:rsidRPr="00030E4F" w:rsidRDefault="00B37765" w:rsidP="00912CA6">
      <w:pPr>
        <w:rPr>
          <w:rFonts w:asciiTheme="majorHAnsi" w:hAnsiTheme="majorHAnsi"/>
        </w:rPr>
      </w:pPr>
    </w:p>
    <w:p w:rsidR="00B37765" w:rsidRPr="00FE5CA9" w:rsidRDefault="00B37765" w:rsidP="00FE5CA9">
      <w:pPr>
        <w:spacing w:after="120"/>
        <w:rPr>
          <w:rFonts w:asciiTheme="majorHAnsi" w:hAnsiTheme="majorHAnsi"/>
          <w:color w:val="0F243E" w:themeColor="text2" w:themeShade="80"/>
          <w:sz w:val="28"/>
          <w:szCs w:val="28"/>
        </w:rPr>
      </w:pPr>
      <w:r w:rsidRPr="00FE5CA9">
        <w:rPr>
          <w:rFonts w:asciiTheme="majorHAnsi" w:hAnsiTheme="majorHAnsi"/>
          <w:color w:val="0F243E" w:themeColor="text2" w:themeShade="80"/>
          <w:sz w:val="28"/>
          <w:szCs w:val="28"/>
        </w:rPr>
        <w:lastRenderedPageBreak/>
        <w:t xml:space="preserve">Crime and Safety </w:t>
      </w:r>
    </w:p>
    <w:p w:rsidR="00B37765" w:rsidRPr="00FE5CA9" w:rsidRDefault="00EE011E" w:rsidP="00FE5CA9">
      <w:pPr>
        <w:spacing w:after="120"/>
        <w:rPr>
          <w:rFonts w:asciiTheme="majorHAnsi" w:hAnsiTheme="majorHAnsi"/>
          <w:b/>
        </w:rPr>
      </w:pPr>
      <w:r w:rsidRPr="00EE011E">
        <w:rPr>
          <w:rFonts w:asciiTheme="majorHAnsi" w:hAnsiTheme="majorHAnsi"/>
          <w:b/>
        </w:rPr>
        <w:t xml:space="preserve">Wyndham </w:t>
      </w:r>
      <w:r w:rsidR="000738E6">
        <w:rPr>
          <w:rFonts w:asciiTheme="majorHAnsi" w:hAnsiTheme="majorHAnsi"/>
          <w:b/>
        </w:rPr>
        <w:t>R</w:t>
      </w:r>
      <w:r w:rsidRPr="00EE011E">
        <w:rPr>
          <w:rFonts w:asciiTheme="majorHAnsi" w:hAnsiTheme="majorHAnsi"/>
          <w:b/>
        </w:rPr>
        <w:t xml:space="preserve">esidents'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erception of </w:t>
      </w:r>
      <w:r w:rsidR="000738E6">
        <w:rPr>
          <w:rFonts w:asciiTheme="majorHAnsi" w:hAnsiTheme="majorHAnsi"/>
          <w:b/>
        </w:rPr>
        <w:t>S</w:t>
      </w:r>
      <w:r w:rsidRPr="00EE011E">
        <w:rPr>
          <w:rFonts w:asciiTheme="majorHAnsi" w:hAnsiTheme="majorHAnsi"/>
          <w:b/>
        </w:rPr>
        <w:t xml:space="preserve">afety in </w:t>
      </w:r>
      <w:r w:rsidR="000738E6">
        <w:rPr>
          <w:rFonts w:asciiTheme="majorHAnsi" w:hAnsiTheme="majorHAnsi"/>
          <w:b/>
        </w:rPr>
        <w:t>P</w:t>
      </w:r>
      <w:r w:rsidRPr="00EE011E">
        <w:rPr>
          <w:rFonts w:asciiTheme="majorHAnsi" w:hAnsiTheme="majorHAnsi"/>
          <w:b/>
        </w:rPr>
        <w:t xml:space="preserve">ublic </w:t>
      </w:r>
      <w:r w:rsidR="000738E6">
        <w:rPr>
          <w:rFonts w:asciiTheme="majorHAnsi" w:hAnsiTheme="majorHAnsi"/>
          <w:b/>
        </w:rPr>
        <w:t>A</w:t>
      </w:r>
      <w:r w:rsidRPr="00EE011E">
        <w:rPr>
          <w:rFonts w:asciiTheme="majorHAnsi" w:hAnsiTheme="majorHAnsi"/>
          <w:b/>
        </w:rPr>
        <w:t xml:space="preserve">reas of Wyndham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 xml:space="preserve">uring the </w:t>
      </w:r>
      <w:r w:rsidR="000738E6">
        <w:rPr>
          <w:rFonts w:asciiTheme="majorHAnsi" w:hAnsiTheme="majorHAnsi"/>
          <w:b/>
        </w:rPr>
        <w:t>D</w:t>
      </w:r>
      <w:r w:rsidRPr="00EE011E">
        <w:rPr>
          <w:rFonts w:asciiTheme="majorHAnsi" w:hAnsiTheme="majorHAnsi"/>
          <w:b/>
        </w:rPr>
        <w:t>ay</w:t>
      </w:r>
      <w:r w:rsidR="00F90FB6">
        <w:rPr>
          <w:rStyle w:val="FootnoteReference"/>
          <w:rFonts w:asciiTheme="majorHAnsi" w:hAnsiTheme="majorHAnsi"/>
          <w:b/>
        </w:rPr>
        <w:footnoteReference w:id="9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2"/>
        <w:gridCol w:w="2658"/>
      </w:tblGrid>
      <w:tr w:rsidR="00B37765" w:rsidRPr="00030E4F" w:rsidTr="000738E6">
        <w:tc>
          <w:tcPr>
            <w:tcW w:w="6522" w:type="dxa"/>
          </w:tcPr>
          <w:p w:rsidR="00B37765" w:rsidRPr="00030E4F" w:rsidRDefault="00EE011E" w:rsidP="00912CA6">
            <w:pPr>
              <w:rPr>
                <w:rFonts w:asciiTheme="majorHAnsi" w:hAnsiTheme="majorHAns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BF11F82" wp14:editId="0C52705B">
                  <wp:extent cx="4004441" cy="1891862"/>
                  <wp:effectExtent l="0" t="0" r="0" b="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2658" w:type="dxa"/>
          </w:tcPr>
          <w:p w:rsidR="00F90FB6" w:rsidRDefault="00F90FB6" w:rsidP="00912CA6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37765" w:rsidRPr="000738E6" w:rsidRDefault="00EE011E" w:rsidP="00561567">
            <w:pPr>
              <w:rPr>
                <w:rFonts w:asciiTheme="majorHAnsi" w:hAnsiTheme="majorHAnsi"/>
              </w:rPr>
            </w:pPr>
            <w:r w:rsidRPr="000738E6">
              <w:rPr>
                <w:rFonts w:asciiTheme="majorHAnsi" w:hAnsiTheme="majorHAnsi"/>
              </w:rPr>
              <w:t xml:space="preserve">Wyndham residents’ overall </w:t>
            </w:r>
            <w:r w:rsidR="00561567" w:rsidRPr="000738E6">
              <w:rPr>
                <w:rFonts w:asciiTheme="majorHAnsi" w:hAnsiTheme="majorHAnsi"/>
              </w:rPr>
              <w:t>perception</w:t>
            </w:r>
            <w:r w:rsidRPr="000738E6">
              <w:rPr>
                <w:rFonts w:asciiTheme="majorHAnsi" w:hAnsiTheme="majorHAnsi"/>
              </w:rPr>
              <w:t xml:space="preserve"> of safety in public areas has decreased since 2015.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  <w:r w:rsidRPr="000738E6">
              <w:rPr>
                <w:rFonts w:asciiTheme="majorHAnsi" w:hAnsiTheme="majorHAnsi"/>
                <w:b/>
              </w:rPr>
              <w:t xml:space="preserve">In 2016, residents rated </w:t>
            </w:r>
            <w:r w:rsidR="00561567" w:rsidRPr="000738E6">
              <w:rPr>
                <w:rFonts w:asciiTheme="majorHAnsi" w:hAnsiTheme="majorHAnsi"/>
                <w:b/>
              </w:rPr>
              <w:t xml:space="preserve">public </w:t>
            </w:r>
            <w:r w:rsidRPr="000738E6">
              <w:rPr>
                <w:rFonts w:asciiTheme="majorHAnsi" w:hAnsiTheme="majorHAnsi"/>
                <w:b/>
              </w:rPr>
              <w:t>safety in Wyndham as 7.95 out of 10,</w:t>
            </w:r>
            <w:r w:rsidRPr="000738E6">
              <w:rPr>
                <w:rFonts w:asciiTheme="majorHAnsi" w:hAnsiTheme="majorHAnsi"/>
              </w:rPr>
              <w:t xml:space="preserve"> down marginally from 2015 (8.37). </w:t>
            </w:r>
            <w:r w:rsidR="00A44ECD" w:rsidRPr="000738E6">
              <w:rPr>
                <w:rFonts w:asciiTheme="majorHAnsi" w:hAnsiTheme="majorHAnsi"/>
              </w:rPr>
              <w:t xml:space="preserve"> </w:t>
            </w:r>
          </w:p>
        </w:tc>
      </w:tr>
    </w:tbl>
    <w:p w:rsidR="00F90FB6" w:rsidRDefault="00F90FB6" w:rsidP="00F90FB6">
      <w:pPr>
        <w:spacing w:after="120"/>
        <w:rPr>
          <w:rFonts w:asciiTheme="majorHAnsi" w:hAnsiTheme="majorHAnsi"/>
          <w:b/>
        </w:rPr>
      </w:pPr>
    </w:p>
    <w:p w:rsidR="00B37765" w:rsidRDefault="00F90FB6" w:rsidP="00D2313B">
      <w:pPr>
        <w:spacing w:after="120"/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 w:rsidR="006F40C8">
        <w:rPr>
          <w:rFonts w:asciiTheme="majorHAnsi" w:hAnsiTheme="majorHAnsi"/>
          <w:b/>
        </w:rPr>
        <w:t xml:space="preserve"> in Wyndham</w:t>
      </w:r>
      <w:r>
        <w:rPr>
          <w:rFonts w:asciiTheme="majorHAnsi" w:hAnsiTheme="majorHAnsi"/>
          <w:b/>
        </w:rPr>
        <w:t>, 2016</w:t>
      </w:r>
      <w:r w:rsidR="00FD7772">
        <w:rPr>
          <w:rFonts w:asciiTheme="majorHAnsi" w:hAnsiTheme="majorHAnsi"/>
          <w:b/>
        </w:rPr>
        <w:t>/17</w:t>
      </w:r>
      <w:r>
        <w:rPr>
          <w:rStyle w:val="FootnoteReference"/>
          <w:rFonts w:asciiTheme="majorHAnsi" w:hAnsiTheme="majorHAnsi"/>
          <w:b/>
        </w:rPr>
        <w:footnoteReference w:id="10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C21973" w:rsidTr="007E1360">
        <w:tc>
          <w:tcPr>
            <w:tcW w:w="10414" w:type="dxa"/>
          </w:tcPr>
          <w:p w:rsidR="00C21973" w:rsidRPr="000738E6" w:rsidRDefault="007E1360" w:rsidP="00912CA6">
            <w:pPr>
              <w:rPr>
                <w:rFonts w:asciiTheme="majorHAnsi" w:hAnsiTheme="majorHAnsi"/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B890C88" wp14:editId="0BA51579">
                  <wp:extent cx="6169572" cy="3489000"/>
                  <wp:effectExtent l="0" t="0" r="3175" b="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C21973" w:rsidTr="00D2313B">
        <w:tc>
          <w:tcPr>
            <w:tcW w:w="10414" w:type="dxa"/>
          </w:tcPr>
          <w:p w:rsidR="00D2313B" w:rsidRPr="000738E6" w:rsidRDefault="00C21973" w:rsidP="009F1EDA">
            <w:pPr>
              <w:spacing w:after="0"/>
              <w:rPr>
                <w:rFonts w:asciiTheme="majorHAnsi" w:hAnsiTheme="majorHAnsi"/>
                <w:b/>
              </w:rPr>
            </w:pPr>
            <w:r w:rsidRPr="006119F2">
              <w:rPr>
                <w:rFonts w:asciiTheme="majorHAnsi" w:hAnsiTheme="majorHAnsi"/>
              </w:rPr>
              <w:t>Family violence is a serious issue in Wyndham</w:t>
            </w:r>
            <w:r w:rsidR="003E7507" w:rsidRPr="006119F2">
              <w:rPr>
                <w:rFonts w:asciiTheme="majorHAnsi" w:hAnsiTheme="majorHAnsi"/>
              </w:rPr>
              <w:t xml:space="preserve">. </w:t>
            </w:r>
            <w:r w:rsidR="00690BFA" w:rsidRPr="000738E6">
              <w:rPr>
                <w:rFonts w:asciiTheme="majorHAnsi" w:hAnsiTheme="majorHAnsi"/>
                <w:b/>
              </w:rPr>
              <w:t>The number of recorded family violence incidents increased at a greater rate than population growth between the years 2012/13 and 201</w:t>
            </w:r>
            <w:r w:rsidR="00831144">
              <w:rPr>
                <w:rFonts w:asciiTheme="majorHAnsi" w:hAnsiTheme="majorHAnsi"/>
                <w:b/>
              </w:rPr>
              <w:t>6</w:t>
            </w:r>
            <w:r w:rsidR="00690BFA" w:rsidRPr="000738E6">
              <w:rPr>
                <w:rFonts w:asciiTheme="majorHAnsi" w:hAnsiTheme="majorHAnsi"/>
                <w:b/>
              </w:rPr>
              <w:t>/1</w:t>
            </w:r>
            <w:r w:rsidR="00831144">
              <w:rPr>
                <w:rFonts w:asciiTheme="majorHAnsi" w:hAnsiTheme="majorHAnsi"/>
                <w:b/>
              </w:rPr>
              <w:t>7</w:t>
            </w:r>
            <w:r w:rsidR="00690BFA" w:rsidRPr="000738E6">
              <w:rPr>
                <w:rFonts w:asciiTheme="majorHAnsi" w:hAnsiTheme="majorHAnsi"/>
                <w:b/>
              </w:rPr>
              <w:t xml:space="preserve">. </w:t>
            </w:r>
          </w:p>
          <w:p w:rsidR="009F1EDA" w:rsidRPr="006119F2" w:rsidRDefault="00690BFA" w:rsidP="00831144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D2313B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 xml:space="preserve"> 2012/13, 1,9</w:t>
            </w:r>
            <w:r w:rsidR="008343E1">
              <w:rPr>
                <w:rFonts w:asciiTheme="majorHAnsi" w:hAnsiTheme="majorHAnsi"/>
              </w:rPr>
              <w:t>95</w:t>
            </w:r>
            <w:r>
              <w:rPr>
                <w:rFonts w:asciiTheme="majorHAnsi" w:hAnsiTheme="majorHAnsi"/>
              </w:rPr>
              <w:t xml:space="preserve"> </w:t>
            </w:r>
            <w:r w:rsidRPr="000738E6">
              <w:rPr>
                <w:rFonts w:asciiTheme="majorHAnsi" w:hAnsiTheme="majorHAnsi"/>
                <w:b/>
              </w:rPr>
              <w:t>family violence incidents were recorded</w:t>
            </w:r>
            <w:r w:rsidR="00D2313B" w:rsidRPr="000738E6">
              <w:rPr>
                <w:rFonts w:asciiTheme="majorHAnsi" w:hAnsiTheme="majorHAnsi"/>
                <w:b/>
              </w:rPr>
              <w:t xml:space="preserve"> for Wyndham</w:t>
            </w:r>
            <w:r w:rsidRPr="000738E6">
              <w:rPr>
                <w:rFonts w:asciiTheme="majorHAnsi" w:hAnsiTheme="majorHAnsi"/>
                <w:b/>
              </w:rPr>
              <w:t>, this figure increased by over 50%</w:t>
            </w:r>
            <w:r>
              <w:rPr>
                <w:rFonts w:asciiTheme="majorHAnsi" w:hAnsiTheme="majorHAnsi"/>
              </w:rPr>
              <w:t xml:space="preserve"> to reach </w:t>
            </w:r>
            <w:r w:rsidR="008343E1">
              <w:rPr>
                <w:rFonts w:asciiTheme="majorHAnsi" w:hAnsiTheme="majorHAnsi"/>
              </w:rPr>
              <w:t>3,014</w:t>
            </w:r>
            <w:r>
              <w:rPr>
                <w:rFonts w:asciiTheme="majorHAnsi" w:hAnsiTheme="majorHAnsi"/>
              </w:rPr>
              <w:t xml:space="preserve"> in 2015/16. In the year 2016/17, the number of family violence incidents decreased by </w:t>
            </w:r>
            <w:r w:rsidR="008343E1">
              <w:rPr>
                <w:rFonts w:asciiTheme="majorHAnsi" w:hAnsiTheme="majorHAnsi"/>
              </w:rPr>
              <w:t>9.9</w:t>
            </w:r>
            <w:r>
              <w:rPr>
                <w:rFonts w:asciiTheme="majorHAnsi" w:hAnsiTheme="majorHAnsi"/>
              </w:rPr>
              <w:t>% (</w:t>
            </w:r>
            <w:r w:rsidR="008343E1">
              <w:rPr>
                <w:rFonts w:asciiTheme="majorHAnsi" w:hAnsiTheme="majorHAnsi"/>
              </w:rPr>
              <w:t>297</w:t>
            </w:r>
            <w:r>
              <w:rPr>
                <w:rFonts w:asciiTheme="majorHAnsi" w:hAnsiTheme="majorHAnsi"/>
              </w:rPr>
              <w:t xml:space="preserve"> incidents)</w:t>
            </w:r>
            <w:r w:rsidR="00831144">
              <w:rPr>
                <w:rFonts w:asciiTheme="majorHAnsi" w:hAnsiTheme="majorHAnsi"/>
              </w:rPr>
              <w:t xml:space="preserve"> when 2,717 incidents were recorded in 12 months</w:t>
            </w:r>
            <w:r>
              <w:rPr>
                <w:rFonts w:asciiTheme="majorHAnsi" w:hAnsiTheme="majorHAnsi"/>
              </w:rPr>
              <w:t>.</w:t>
            </w:r>
          </w:p>
        </w:tc>
      </w:tr>
    </w:tbl>
    <w:p w:rsidR="000738E6" w:rsidRDefault="000738E6" w:rsidP="00912CA6">
      <w:pPr>
        <w:rPr>
          <w:rFonts w:asciiTheme="majorHAnsi" w:hAnsiTheme="majorHAnsi"/>
          <w:b/>
        </w:rPr>
      </w:pPr>
    </w:p>
    <w:p w:rsidR="000738E6" w:rsidRDefault="000738E6" w:rsidP="00912CA6">
      <w:pPr>
        <w:rPr>
          <w:rFonts w:asciiTheme="majorHAnsi" w:hAnsiTheme="majorHAnsi"/>
          <w:b/>
        </w:rPr>
      </w:pPr>
    </w:p>
    <w:p w:rsidR="000738E6" w:rsidRDefault="000738E6" w:rsidP="00912CA6">
      <w:pPr>
        <w:rPr>
          <w:rFonts w:asciiTheme="majorHAnsi" w:hAnsiTheme="majorHAnsi"/>
          <w:b/>
        </w:rPr>
      </w:pPr>
    </w:p>
    <w:p w:rsidR="00EB1FEB" w:rsidRPr="00F90FB6" w:rsidRDefault="00EB1FEB" w:rsidP="00912CA6">
      <w:pPr>
        <w:rPr>
          <w:rFonts w:asciiTheme="majorHAnsi" w:hAnsiTheme="majorHAnsi"/>
          <w:b/>
        </w:rPr>
      </w:pPr>
      <w:r w:rsidRPr="00F90FB6">
        <w:rPr>
          <w:rFonts w:asciiTheme="majorHAnsi" w:hAnsiTheme="majorHAnsi"/>
          <w:b/>
        </w:rPr>
        <w:lastRenderedPageBreak/>
        <w:t xml:space="preserve">Recorded </w:t>
      </w:r>
      <w:r w:rsidR="000738E6">
        <w:rPr>
          <w:rFonts w:asciiTheme="majorHAnsi" w:hAnsiTheme="majorHAnsi"/>
          <w:b/>
        </w:rPr>
        <w:t>I</w:t>
      </w:r>
      <w:r w:rsidRPr="00F90FB6">
        <w:rPr>
          <w:rFonts w:asciiTheme="majorHAnsi" w:hAnsiTheme="majorHAnsi"/>
          <w:b/>
        </w:rPr>
        <w:t xml:space="preserve">ncidents of </w:t>
      </w:r>
      <w:r w:rsidR="000738E6">
        <w:rPr>
          <w:rFonts w:asciiTheme="majorHAnsi" w:hAnsiTheme="majorHAnsi"/>
          <w:b/>
        </w:rPr>
        <w:t>F</w:t>
      </w:r>
      <w:r w:rsidRPr="00F90FB6">
        <w:rPr>
          <w:rFonts w:asciiTheme="majorHAnsi" w:hAnsiTheme="majorHAnsi"/>
          <w:b/>
        </w:rPr>
        <w:t xml:space="preserve">amily </w:t>
      </w:r>
      <w:r w:rsidR="000738E6">
        <w:rPr>
          <w:rFonts w:asciiTheme="majorHAnsi" w:hAnsiTheme="majorHAnsi"/>
          <w:b/>
        </w:rPr>
        <w:t>V</w:t>
      </w:r>
      <w:r w:rsidRPr="00F90FB6">
        <w:rPr>
          <w:rFonts w:asciiTheme="majorHAnsi" w:hAnsiTheme="majorHAnsi"/>
          <w:b/>
        </w:rPr>
        <w:t>iolence</w:t>
      </w:r>
      <w:r>
        <w:rPr>
          <w:rFonts w:asciiTheme="majorHAnsi" w:hAnsiTheme="majorHAnsi"/>
          <w:b/>
        </w:rPr>
        <w:t xml:space="preserve"> per 100,000 </w:t>
      </w:r>
      <w:r w:rsidR="000738E6">
        <w:rPr>
          <w:rFonts w:asciiTheme="majorHAnsi" w:hAnsiTheme="majorHAnsi"/>
          <w:b/>
        </w:rPr>
        <w:t>P</w:t>
      </w:r>
      <w:r>
        <w:rPr>
          <w:rFonts w:asciiTheme="majorHAnsi" w:hAnsiTheme="majorHAnsi"/>
          <w:b/>
        </w:rPr>
        <w:t>opulation, 2016/17</w:t>
      </w:r>
      <w:r>
        <w:rPr>
          <w:rStyle w:val="FootnoteReference"/>
          <w:rFonts w:asciiTheme="majorHAnsi" w:hAnsiTheme="majorHAnsi"/>
          <w:b/>
        </w:rPr>
        <w:footnoteReference w:id="11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B37765" w:rsidRPr="00030E4F" w:rsidTr="006A5937">
        <w:tc>
          <w:tcPr>
            <w:tcW w:w="10414" w:type="dxa"/>
          </w:tcPr>
          <w:p w:rsidR="00B37765" w:rsidRPr="00030E4F" w:rsidRDefault="006A5937" w:rsidP="00912CA6">
            <w:pPr>
              <w:rPr>
                <w:rFonts w:asciiTheme="majorHAnsi" w:hAnsiTheme="majorHAns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1E2CF5A" wp14:editId="559B97CA">
                  <wp:extent cx="6369269" cy="3005959"/>
                  <wp:effectExtent l="0" t="0" r="0" b="4445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B37765" w:rsidRPr="00030E4F" w:rsidTr="00EB1FEB">
        <w:tc>
          <w:tcPr>
            <w:tcW w:w="10414" w:type="dxa"/>
          </w:tcPr>
          <w:p w:rsidR="00B37765" w:rsidRPr="00C21973" w:rsidRDefault="006F40C8" w:rsidP="0089217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2016/17 t</w:t>
            </w:r>
            <w:r w:rsidR="00C21973" w:rsidRPr="00A26215">
              <w:rPr>
                <w:rFonts w:asciiTheme="majorHAnsi" w:hAnsiTheme="majorHAnsi"/>
              </w:rPr>
              <w:t xml:space="preserve">he </w:t>
            </w:r>
            <w:r w:rsidR="00C21973" w:rsidRPr="000738E6">
              <w:rPr>
                <w:rFonts w:asciiTheme="majorHAnsi" w:hAnsiTheme="majorHAnsi"/>
                <w:b/>
              </w:rPr>
              <w:t xml:space="preserve">rate of family violence in Wyndham </w:t>
            </w:r>
            <w:r w:rsidR="000738E6" w:rsidRPr="000738E6">
              <w:rPr>
                <w:rFonts w:asciiTheme="majorHAnsi" w:hAnsiTheme="majorHAnsi"/>
                <w:b/>
              </w:rPr>
              <w:t>was</w:t>
            </w:r>
            <w:r w:rsidR="00C21973" w:rsidRPr="000738E6">
              <w:rPr>
                <w:rFonts w:asciiTheme="majorHAnsi" w:hAnsiTheme="majorHAnsi"/>
                <w:b/>
              </w:rPr>
              <w:t xml:space="preserve"> slightly lower than the Victorian rate</w:t>
            </w:r>
            <w:r w:rsidR="00C21973" w:rsidRPr="00A26215">
              <w:rPr>
                <w:rFonts w:asciiTheme="majorHAnsi" w:hAnsiTheme="majorHAnsi"/>
              </w:rPr>
              <w:t xml:space="preserve">, and </w:t>
            </w:r>
            <w:r w:rsidR="000738E6">
              <w:rPr>
                <w:rFonts w:asciiTheme="majorHAnsi" w:hAnsiTheme="majorHAnsi"/>
              </w:rPr>
              <w:t>was</w:t>
            </w:r>
            <w:r w:rsidR="00C21973" w:rsidRPr="00A26215">
              <w:rPr>
                <w:rFonts w:asciiTheme="majorHAnsi" w:hAnsiTheme="majorHAnsi"/>
              </w:rPr>
              <w:t xml:space="preserve"> decreasing </w:t>
            </w:r>
            <w:r w:rsidR="00892175">
              <w:rPr>
                <w:rFonts w:asciiTheme="majorHAnsi" w:hAnsiTheme="majorHAnsi"/>
              </w:rPr>
              <w:t>at a greater rate than Victoria and the North West Metro area</w:t>
            </w:r>
            <w:r w:rsidR="00C21973" w:rsidRPr="00A26215">
              <w:rPr>
                <w:rFonts w:asciiTheme="majorHAnsi" w:hAnsiTheme="majorHAnsi"/>
              </w:rPr>
              <w:t>. Compared to other growth areas, Wyndham ha</w:t>
            </w:r>
            <w:r w:rsidR="000738E6">
              <w:rPr>
                <w:rFonts w:asciiTheme="majorHAnsi" w:hAnsiTheme="majorHAnsi"/>
              </w:rPr>
              <w:t>d</w:t>
            </w:r>
            <w:r w:rsidR="00C21973" w:rsidRPr="00A26215">
              <w:rPr>
                <w:rFonts w:asciiTheme="majorHAnsi" w:hAnsiTheme="majorHAnsi"/>
              </w:rPr>
              <w:t xml:space="preserve"> the lowest rate of family violence per 100,000 people, and the second fastest </w:t>
            </w:r>
            <w:r w:rsidR="009E532C">
              <w:rPr>
                <w:rFonts w:asciiTheme="majorHAnsi" w:hAnsiTheme="majorHAnsi"/>
              </w:rPr>
              <w:t xml:space="preserve">decreasing </w:t>
            </w:r>
            <w:r w:rsidR="00C21973" w:rsidRPr="00A26215">
              <w:rPr>
                <w:rFonts w:asciiTheme="majorHAnsi" w:hAnsiTheme="majorHAnsi"/>
              </w:rPr>
              <w:t xml:space="preserve">rate. </w:t>
            </w:r>
          </w:p>
        </w:tc>
      </w:tr>
    </w:tbl>
    <w:p w:rsidR="00A33AA3" w:rsidRPr="00912CA6" w:rsidRDefault="00A33AA3" w:rsidP="00912CA6"/>
    <w:sectPr w:rsidR="00A33AA3" w:rsidRPr="00912CA6" w:rsidSect="00912CA6">
      <w:footerReference w:type="default" r:id="rId18"/>
      <w:headerReference w:type="first" r:id="rId19"/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2A" w:rsidRDefault="006E142A" w:rsidP="00D62CF1">
      <w:r>
        <w:separator/>
      </w:r>
    </w:p>
  </w:endnote>
  <w:endnote w:type="continuationSeparator" w:id="0">
    <w:p w:rsidR="006E142A" w:rsidRDefault="006E142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5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2A" w:rsidRDefault="006E142A" w:rsidP="00D62CF1">
      <w:r>
        <w:separator/>
      </w:r>
    </w:p>
  </w:footnote>
  <w:footnote w:type="continuationSeparator" w:id="0">
    <w:p w:rsidR="006E142A" w:rsidRDefault="006E142A" w:rsidP="00D62CF1">
      <w:r>
        <w:continuationSeparator/>
      </w:r>
    </w:p>
  </w:footnote>
  <w:footnote w:id="1">
    <w:p w:rsidR="00F3725B" w:rsidRPr="00F3725B" w:rsidRDefault="00B41072">
      <w:pPr>
        <w:pStyle w:val="FootnoteText"/>
        <w:rPr>
          <w:rFonts w:asciiTheme="majorHAnsi" w:hAnsiTheme="majorHAnsi"/>
          <w:sz w:val="16"/>
          <w:szCs w:val="16"/>
        </w:rPr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Wyndham City Council. (2013 to 2016). Annual </w:t>
      </w:r>
      <w:r w:rsidR="001C5EA2">
        <w:rPr>
          <w:rFonts w:asciiTheme="majorHAnsi" w:hAnsiTheme="majorHAnsi"/>
          <w:sz w:val="16"/>
          <w:szCs w:val="16"/>
        </w:rPr>
        <w:t>c</w:t>
      </w:r>
      <w:r w:rsidRPr="00F3725B">
        <w:rPr>
          <w:rFonts w:asciiTheme="majorHAnsi" w:hAnsiTheme="majorHAnsi"/>
          <w:sz w:val="16"/>
          <w:szCs w:val="16"/>
        </w:rPr>
        <w:t xml:space="preserve">ommunity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 xml:space="preserve">atisfaction </w:t>
      </w:r>
      <w:r w:rsidR="001C5EA2">
        <w:rPr>
          <w:rFonts w:asciiTheme="majorHAnsi" w:hAnsiTheme="majorHAnsi"/>
          <w:sz w:val="16"/>
          <w:szCs w:val="16"/>
        </w:rPr>
        <w:t>s</w:t>
      </w:r>
      <w:r w:rsidR="00BC0F70">
        <w:rPr>
          <w:rFonts w:asciiTheme="majorHAnsi" w:hAnsiTheme="majorHAnsi"/>
          <w:sz w:val="16"/>
          <w:szCs w:val="16"/>
        </w:rPr>
        <w:t>urvey</w:t>
      </w:r>
    </w:p>
  </w:footnote>
  <w:footnote w:id="2">
    <w:p w:rsidR="00F3725B" w:rsidRDefault="00F3725B">
      <w:pPr>
        <w:pStyle w:val="FootnoteText"/>
      </w:pPr>
      <w:r w:rsidRPr="00F3725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3725B">
        <w:rPr>
          <w:rFonts w:asciiTheme="majorHAnsi" w:hAnsiTheme="majorHAnsi"/>
          <w:sz w:val="16"/>
          <w:szCs w:val="16"/>
        </w:rPr>
        <w:t xml:space="preserve"> </w:t>
      </w:r>
      <w:r w:rsidR="001C5EA2">
        <w:rPr>
          <w:rFonts w:asciiTheme="majorHAnsi" w:hAnsiTheme="majorHAnsi"/>
          <w:sz w:val="16"/>
          <w:szCs w:val="16"/>
        </w:rPr>
        <w:t>Department of Health. (2014). Victorian Population Health Survey: Modifiable risk factors contributing to chronic disease in Victoria</w:t>
      </w:r>
    </w:p>
  </w:footnote>
  <w:footnote w:id="3">
    <w:p w:rsidR="001C1D85" w:rsidRPr="00FC18EB" w:rsidRDefault="001C1D85">
      <w:pPr>
        <w:pStyle w:val="FootnoteText"/>
        <w:rPr>
          <w:rFonts w:asciiTheme="majorHAnsi" w:hAnsiTheme="majorHAnsi"/>
          <w:sz w:val="16"/>
          <w:szCs w:val="16"/>
        </w:rPr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</w:t>
      </w:r>
      <w:r w:rsidR="00E96D60" w:rsidRPr="00FC18EB">
        <w:rPr>
          <w:rFonts w:asciiTheme="majorHAnsi" w:hAnsiTheme="majorHAnsi"/>
          <w:sz w:val="16"/>
          <w:szCs w:val="16"/>
        </w:rPr>
        <w:t>Department of</w:t>
      </w:r>
      <w:r w:rsidRPr="00FC18EB">
        <w:rPr>
          <w:rFonts w:asciiTheme="majorHAnsi" w:hAnsiTheme="majorHAnsi"/>
          <w:sz w:val="16"/>
          <w:szCs w:val="16"/>
        </w:rPr>
        <w:t xml:space="preserve"> Health and Human Services. (2014)</w:t>
      </w:r>
      <w:r w:rsidRPr="00BC0F70">
        <w:rPr>
          <w:rFonts w:asciiTheme="majorHAnsi" w:hAnsiTheme="majorHAnsi"/>
          <w:sz w:val="16"/>
          <w:szCs w:val="16"/>
        </w:rPr>
        <w:t xml:space="preserve">. </w:t>
      </w:r>
      <w:hyperlink r:id="rId1" w:history="1">
        <w:r w:rsidRPr="00BC0F70">
          <w:rPr>
            <w:rStyle w:val="Hyperlink"/>
            <w:rFonts w:asciiTheme="majorHAnsi" w:hAnsiTheme="majorHAnsi"/>
            <w:color w:val="auto"/>
            <w:sz w:val="16"/>
            <w:szCs w:val="16"/>
            <w:u w:val="none"/>
          </w:rPr>
          <w:t>Victorian Population Health Survey: Modifiable risk factors contributing to chronic disease in Victoria.</w:t>
        </w:r>
      </w:hyperlink>
    </w:p>
  </w:footnote>
  <w:footnote w:id="4">
    <w:p w:rsidR="00FC18EB" w:rsidRDefault="00FC18EB">
      <w:pPr>
        <w:pStyle w:val="FootnoteText"/>
      </w:pPr>
      <w:r w:rsidRPr="00FC18EB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C18EB">
        <w:rPr>
          <w:rFonts w:asciiTheme="majorHAnsi" w:hAnsiTheme="majorHAnsi"/>
          <w:sz w:val="16"/>
          <w:szCs w:val="16"/>
        </w:rPr>
        <w:t xml:space="preserve"> Department of Health - Australian Childhood Immunisation Registry (ACIR). (2010 to 2015). Immunisations. Retrieved from the </w:t>
      </w:r>
      <w:r w:rsidRPr="00F57407">
        <w:rPr>
          <w:rFonts w:asciiTheme="majorHAnsi" w:hAnsiTheme="majorHAnsi"/>
          <w:sz w:val="16"/>
          <w:szCs w:val="16"/>
        </w:rPr>
        <w:t>Victorian Child and Adolescent Monitoring System,</w:t>
      </w:r>
      <w:r>
        <w:t xml:space="preserve"> </w:t>
      </w:r>
    </w:p>
  </w:footnote>
  <w:footnote w:id="5">
    <w:p w:rsidR="00282417" w:rsidRDefault="0028241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18EB">
        <w:rPr>
          <w:rFonts w:asciiTheme="majorHAnsi" w:hAnsiTheme="majorHAnsi"/>
          <w:sz w:val="16"/>
          <w:szCs w:val="16"/>
        </w:rPr>
        <w:t xml:space="preserve">Department  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Victoria.</w:t>
      </w:r>
    </w:p>
  </w:footnote>
  <w:footnote w:id="6">
    <w:p w:rsidR="00282417" w:rsidRPr="00FE5CA9" w:rsidRDefault="00282417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Department  of Health and Human Services. (2014). </w:t>
      </w:r>
      <w:r w:rsidRPr="00F57407">
        <w:rPr>
          <w:rFonts w:asciiTheme="majorHAnsi" w:hAnsiTheme="majorHAnsi"/>
          <w:sz w:val="16"/>
          <w:szCs w:val="16"/>
        </w:rPr>
        <w:t>Victorian Population Health Survey: Modifiable risk factors contributing to chronic disease in Victoria</w:t>
      </w:r>
    </w:p>
  </w:footnote>
  <w:footnote w:id="7">
    <w:p w:rsidR="00FE5CA9" w:rsidRPr="00FE5CA9" w:rsidRDefault="00FE5CA9">
      <w:pPr>
        <w:pStyle w:val="FootnoteText"/>
        <w:rPr>
          <w:rFonts w:asciiTheme="majorHAnsi" w:hAnsiTheme="majorHAnsi"/>
          <w:sz w:val="16"/>
          <w:szCs w:val="16"/>
        </w:rPr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Ibid</w:t>
      </w:r>
    </w:p>
  </w:footnote>
  <w:footnote w:id="8">
    <w:p w:rsidR="00FE5CA9" w:rsidRDefault="00FE5CA9">
      <w:pPr>
        <w:pStyle w:val="FootnoteText"/>
      </w:pPr>
      <w:r w:rsidRPr="00FE5CA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E5CA9">
        <w:rPr>
          <w:rFonts w:asciiTheme="majorHAnsi" w:hAnsiTheme="majorHAnsi"/>
          <w:sz w:val="16"/>
          <w:szCs w:val="16"/>
        </w:rPr>
        <w:t xml:space="preserve"> Victorian Responsible Gambling Foundation. (2015-16). </w:t>
      </w:r>
      <w:r w:rsidRPr="00F57407">
        <w:rPr>
          <w:rFonts w:asciiTheme="majorHAnsi" w:hAnsiTheme="majorHAnsi"/>
          <w:sz w:val="16"/>
          <w:szCs w:val="16"/>
        </w:rPr>
        <w:t>Pokies in your local government area</w:t>
      </w:r>
    </w:p>
  </w:footnote>
  <w:footnote w:id="9">
    <w:p w:rsidR="00F90FB6" w:rsidRPr="001D56E9" w:rsidRDefault="00F90FB6">
      <w:pPr>
        <w:pStyle w:val="FootnoteText"/>
        <w:rPr>
          <w:rFonts w:asciiTheme="majorHAnsi" w:hAnsiTheme="majorHAnsi"/>
          <w:sz w:val="16"/>
          <w:szCs w:val="16"/>
        </w:rPr>
      </w:pPr>
      <w:r w:rsidRPr="001D56E9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1D56E9">
        <w:rPr>
          <w:rFonts w:asciiTheme="majorHAnsi" w:hAnsiTheme="majorHAnsi"/>
          <w:sz w:val="16"/>
          <w:szCs w:val="16"/>
        </w:rPr>
        <w:t xml:space="preserve"> </w:t>
      </w:r>
      <w:r w:rsidR="00892E53">
        <w:rPr>
          <w:rFonts w:asciiTheme="majorHAnsi" w:hAnsiTheme="majorHAnsi"/>
          <w:sz w:val="16"/>
          <w:szCs w:val="16"/>
        </w:rPr>
        <w:t xml:space="preserve">Wyndham City Council. (2014 to 2016). Annual </w:t>
      </w:r>
      <w:r w:rsidR="000738E6">
        <w:rPr>
          <w:rFonts w:asciiTheme="majorHAnsi" w:hAnsiTheme="majorHAnsi"/>
          <w:sz w:val="16"/>
          <w:szCs w:val="16"/>
        </w:rPr>
        <w:t>c</w:t>
      </w:r>
      <w:r w:rsidR="00892E53">
        <w:rPr>
          <w:rFonts w:asciiTheme="majorHAnsi" w:hAnsiTheme="majorHAnsi"/>
          <w:sz w:val="16"/>
          <w:szCs w:val="16"/>
        </w:rPr>
        <w:t xml:space="preserve">ommunity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 xml:space="preserve">atisfaction </w:t>
      </w:r>
      <w:r w:rsidR="000738E6">
        <w:rPr>
          <w:rFonts w:asciiTheme="majorHAnsi" w:hAnsiTheme="majorHAnsi"/>
          <w:sz w:val="16"/>
          <w:szCs w:val="16"/>
        </w:rPr>
        <w:t>s</w:t>
      </w:r>
      <w:r w:rsidR="00892E53">
        <w:rPr>
          <w:rFonts w:asciiTheme="majorHAnsi" w:hAnsiTheme="majorHAnsi"/>
          <w:sz w:val="16"/>
          <w:szCs w:val="16"/>
        </w:rPr>
        <w:t>urvey</w:t>
      </w:r>
    </w:p>
  </w:footnote>
  <w:footnote w:id="10">
    <w:p w:rsidR="00F90FB6" w:rsidRDefault="00F90FB6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Crime Statistics Agency. (</w:t>
      </w:r>
      <w:r w:rsidR="00FD7772">
        <w:rPr>
          <w:rFonts w:asciiTheme="majorHAnsi" w:hAnsiTheme="majorHAnsi"/>
          <w:sz w:val="16"/>
          <w:szCs w:val="16"/>
        </w:rPr>
        <w:t>2016/17</w:t>
      </w:r>
      <w:r w:rsidRPr="00F90FB6">
        <w:rPr>
          <w:rFonts w:asciiTheme="majorHAnsi" w:hAnsiTheme="majorHAnsi"/>
          <w:sz w:val="16"/>
          <w:szCs w:val="16"/>
        </w:rPr>
        <w:t xml:space="preserve">). </w:t>
      </w:r>
      <w:r w:rsidRPr="006769BD">
        <w:rPr>
          <w:rFonts w:asciiTheme="majorHAnsi" w:hAnsiTheme="majorHAnsi"/>
          <w:sz w:val="16"/>
          <w:szCs w:val="16"/>
        </w:rPr>
        <w:t>Family incidents</w:t>
      </w:r>
      <w:r>
        <w:t xml:space="preserve"> </w:t>
      </w:r>
    </w:p>
  </w:footnote>
  <w:footnote w:id="11">
    <w:p w:rsidR="00EB1FEB" w:rsidRDefault="00EB1FEB" w:rsidP="00EB1FEB">
      <w:pPr>
        <w:pStyle w:val="FootnoteText"/>
      </w:pPr>
      <w:r w:rsidRPr="00F90FB6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F90FB6">
        <w:rPr>
          <w:rFonts w:asciiTheme="majorHAnsi" w:hAnsiTheme="majorHAnsi"/>
          <w:sz w:val="16"/>
          <w:szCs w:val="16"/>
        </w:rPr>
        <w:t xml:space="preserve"> Crime Statistics Agency. (</w:t>
      </w:r>
      <w:r>
        <w:rPr>
          <w:rFonts w:asciiTheme="majorHAnsi" w:hAnsiTheme="majorHAnsi"/>
          <w:sz w:val="16"/>
          <w:szCs w:val="16"/>
        </w:rPr>
        <w:t>2016/17</w:t>
      </w:r>
      <w:r w:rsidRPr="00F90FB6">
        <w:rPr>
          <w:rFonts w:asciiTheme="majorHAnsi" w:hAnsiTheme="majorHAnsi"/>
          <w:sz w:val="16"/>
          <w:szCs w:val="16"/>
        </w:rPr>
        <w:t xml:space="preserve">). </w:t>
      </w:r>
      <w:r w:rsidRPr="006769BD">
        <w:rPr>
          <w:rFonts w:asciiTheme="majorHAnsi" w:hAnsiTheme="majorHAnsi"/>
          <w:sz w:val="16"/>
          <w:szCs w:val="16"/>
        </w:rPr>
        <w:t>Family incidents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B2C4142" wp14:editId="3BD037D3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A6"/>
    <w:rsid w:val="00030E4F"/>
    <w:rsid w:val="0004478A"/>
    <w:rsid w:val="00065312"/>
    <w:rsid w:val="00066BC8"/>
    <w:rsid w:val="000738E6"/>
    <w:rsid w:val="000D338F"/>
    <w:rsid w:val="000E4083"/>
    <w:rsid w:val="000F5687"/>
    <w:rsid w:val="0010335E"/>
    <w:rsid w:val="00106C16"/>
    <w:rsid w:val="0016309E"/>
    <w:rsid w:val="001B5898"/>
    <w:rsid w:val="001C1D85"/>
    <w:rsid w:val="001C5EA2"/>
    <w:rsid w:val="001D56E9"/>
    <w:rsid w:val="00220144"/>
    <w:rsid w:val="00254715"/>
    <w:rsid w:val="00277431"/>
    <w:rsid w:val="00282417"/>
    <w:rsid w:val="002E38EA"/>
    <w:rsid w:val="00304B1C"/>
    <w:rsid w:val="0034536F"/>
    <w:rsid w:val="00386175"/>
    <w:rsid w:val="003C0E22"/>
    <w:rsid w:val="003E2167"/>
    <w:rsid w:val="003E7507"/>
    <w:rsid w:val="004141EE"/>
    <w:rsid w:val="004160D1"/>
    <w:rsid w:val="0041664F"/>
    <w:rsid w:val="00430DB0"/>
    <w:rsid w:val="00451BB3"/>
    <w:rsid w:val="004A31FF"/>
    <w:rsid w:val="004C227A"/>
    <w:rsid w:val="00552202"/>
    <w:rsid w:val="00561567"/>
    <w:rsid w:val="005720A0"/>
    <w:rsid w:val="005B752A"/>
    <w:rsid w:val="006119F2"/>
    <w:rsid w:val="00617441"/>
    <w:rsid w:val="006357F8"/>
    <w:rsid w:val="0065140C"/>
    <w:rsid w:val="00655026"/>
    <w:rsid w:val="0065651F"/>
    <w:rsid w:val="00670C3A"/>
    <w:rsid w:val="00670D22"/>
    <w:rsid w:val="00671C99"/>
    <w:rsid w:val="006769BD"/>
    <w:rsid w:val="00690BFA"/>
    <w:rsid w:val="006A524B"/>
    <w:rsid w:val="006A5937"/>
    <w:rsid w:val="006A62D9"/>
    <w:rsid w:val="006C07E8"/>
    <w:rsid w:val="006D04D4"/>
    <w:rsid w:val="006E142A"/>
    <w:rsid w:val="006F32E8"/>
    <w:rsid w:val="006F40C8"/>
    <w:rsid w:val="006F53C9"/>
    <w:rsid w:val="00710086"/>
    <w:rsid w:val="00745391"/>
    <w:rsid w:val="00773327"/>
    <w:rsid w:val="007B2BEF"/>
    <w:rsid w:val="007B4D35"/>
    <w:rsid w:val="007E1360"/>
    <w:rsid w:val="007F500D"/>
    <w:rsid w:val="007F7E71"/>
    <w:rsid w:val="00831144"/>
    <w:rsid w:val="008343E1"/>
    <w:rsid w:val="00846689"/>
    <w:rsid w:val="008822A3"/>
    <w:rsid w:val="0088578E"/>
    <w:rsid w:val="00892175"/>
    <w:rsid w:val="00892E53"/>
    <w:rsid w:val="00893A96"/>
    <w:rsid w:val="00894817"/>
    <w:rsid w:val="008E7FB6"/>
    <w:rsid w:val="00912CA6"/>
    <w:rsid w:val="00951D17"/>
    <w:rsid w:val="00996DAF"/>
    <w:rsid w:val="009A22C0"/>
    <w:rsid w:val="009E295A"/>
    <w:rsid w:val="009E532C"/>
    <w:rsid w:val="009F1EDA"/>
    <w:rsid w:val="00A33AA3"/>
    <w:rsid w:val="00A41C25"/>
    <w:rsid w:val="00A44ECD"/>
    <w:rsid w:val="00A54749"/>
    <w:rsid w:val="00A67EE5"/>
    <w:rsid w:val="00AE7553"/>
    <w:rsid w:val="00B16F22"/>
    <w:rsid w:val="00B37765"/>
    <w:rsid w:val="00B41072"/>
    <w:rsid w:val="00B56122"/>
    <w:rsid w:val="00BA7AB7"/>
    <w:rsid w:val="00BB0AEE"/>
    <w:rsid w:val="00BB6A5D"/>
    <w:rsid w:val="00BC0F70"/>
    <w:rsid w:val="00BD1367"/>
    <w:rsid w:val="00C21973"/>
    <w:rsid w:val="00C723DB"/>
    <w:rsid w:val="00C73934"/>
    <w:rsid w:val="00D153F5"/>
    <w:rsid w:val="00D20EC3"/>
    <w:rsid w:val="00D2313B"/>
    <w:rsid w:val="00D4515F"/>
    <w:rsid w:val="00D62CF1"/>
    <w:rsid w:val="00DD6491"/>
    <w:rsid w:val="00DF0D56"/>
    <w:rsid w:val="00E16808"/>
    <w:rsid w:val="00E60950"/>
    <w:rsid w:val="00E61322"/>
    <w:rsid w:val="00E62FDC"/>
    <w:rsid w:val="00E96D60"/>
    <w:rsid w:val="00EB1FEB"/>
    <w:rsid w:val="00EE011E"/>
    <w:rsid w:val="00F34EFF"/>
    <w:rsid w:val="00F3725B"/>
    <w:rsid w:val="00F4181E"/>
    <w:rsid w:val="00F57407"/>
    <w:rsid w:val="00F82156"/>
    <w:rsid w:val="00F90FB6"/>
    <w:rsid w:val="00FB6E7F"/>
    <w:rsid w:val="00FC0DE6"/>
    <w:rsid w:val="00FC18EB"/>
    <w:rsid w:val="00FD7772"/>
    <w:rsid w:val="00FE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A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  <w:spacing w:after="0" w:line="240" w:lineRule="auto"/>
    </w:pPr>
    <w:rPr>
      <w:rFonts w:ascii="Helvetica" w:eastAsia="MS Mincho" w:hAnsi="Helvetica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paragraph" w:customStyle="1" w:styleId="LetterBody">
    <w:name w:val="Letter Body"/>
    <w:rsid w:val="00912CA6"/>
    <w:rPr>
      <w:rFonts w:ascii="Univers LT Std 55" w:eastAsia="ヒラギノ角ゴ Pro W3" w:hAnsi="Univers LT Std 55"/>
      <w:color w:val="394349"/>
      <w:sz w:val="18"/>
      <w:lang w:val="en-US" w:eastAsia="en-AU"/>
    </w:rPr>
  </w:style>
  <w:style w:type="table" w:styleId="TableGrid">
    <w:name w:val="Table Grid"/>
    <w:basedOn w:val="TableNormal"/>
    <w:uiPriority w:val="59"/>
    <w:rsid w:val="00912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410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072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B4107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410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8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ealth.vic.gov.au/public-health/population-health-systems/health-status-of-victorians/survey-data-and-reports/victorian-population-health-survey/victorian-population-health-survey-2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WinTalk\9daf941b-2865-4c4e-8451-def7fbbf22c1\City%20Plan%20-%20Strategic%20Indicators%20Data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vkapke\Desktop\Charts%20for%20theme%20da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WinTalk\9daf941b-2865-4c4e-8451-def7fbbf22c1\City%20Plan%20-%20Strategic%20Indicators%20Data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'P&amp;C Worksheet'!$A$8:$D$8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'P&amp;C Worksheet'!$A$9:$D$9</c:f>
              <c:numCache>
                <c:formatCode>General</c:formatCode>
                <c:ptCount val="4"/>
                <c:pt idx="0">
                  <c:v>7.26</c:v>
                </c:pt>
                <c:pt idx="1">
                  <c:v>7.61</c:v>
                </c:pt>
                <c:pt idx="2">
                  <c:v>7.86</c:v>
                </c:pt>
                <c:pt idx="3">
                  <c:v>7.45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884928"/>
        <c:axId val="235894272"/>
      </c:lineChart>
      <c:catAx>
        <c:axId val="23588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5894272"/>
        <c:crosses val="autoZero"/>
        <c:auto val="1"/>
        <c:lblAlgn val="ctr"/>
        <c:lblOffset val="100"/>
        <c:noMultiLvlLbl val="0"/>
      </c:catAx>
      <c:valAx>
        <c:axId val="235894272"/>
        <c:scaling>
          <c:orientation val="minMax"/>
          <c:min val="7.1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Average Rating (out of 10)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35884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688762077368636E-2"/>
          <c:y val="4.692030781947451E-2"/>
          <c:w val="0.77498606282406812"/>
          <c:h val="0.637879192236762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Worksheet'!$F$128</c:f>
              <c:strCache>
                <c:ptCount val="1"/>
                <c:pt idx="0">
                  <c:v>Rate per 100,000 2016-17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'P&amp;C Worksheet'!$A$129:$A$136</c:f>
              <c:strCache>
                <c:ptCount val="8"/>
                <c:pt idx="0">
                  <c:v>Hume</c:v>
                </c:pt>
                <c:pt idx="1">
                  <c:v>Melton</c:v>
                </c:pt>
                <c:pt idx="2">
                  <c:v>Whittlesea</c:v>
                </c:pt>
                <c:pt idx="3">
                  <c:v>Wyndham</c:v>
                </c:pt>
                <c:pt idx="4">
                  <c:v>Cardinia</c:v>
                </c:pt>
                <c:pt idx="5">
                  <c:v>Casey</c:v>
                </c:pt>
                <c:pt idx="6">
                  <c:v>North West Metro</c:v>
                </c:pt>
                <c:pt idx="7">
                  <c:v>VIC</c:v>
                </c:pt>
              </c:strCache>
            </c:strRef>
          </c:cat>
          <c:val>
            <c:numRef>
              <c:f>'P&amp;C Worksheet'!$F$129:$F$136</c:f>
              <c:numCache>
                <c:formatCode>#,##0.0</c:formatCode>
                <c:ptCount val="8"/>
                <c:pt idx="0">
                  <c:v>1478.6423728318919</c:v>
                </c:pt>
                <c:pt idx="1">
                  <c:v>1468.1357327769674</c:v>
                </c:pt>
                <c:pt idx="2">
                  <c:v>1452.2565320665083</c:v>
                </c:pt>
                <c:pt idx="3">
                  <c:v>1182.6309512409573</c:v>
                </c:pt>
                <c:pt idx="4">
                  <c:v>1252.8793189784678</c:v>
                </c:pt>
                <c:pt idx="5">
                  <c:v>1522.4668469164415</c:v>
                </c:pt>
                <c:pt idx="6">
                  <c:v>1147.176816136996</c:v>
                </c:pt>
                <c:pt idx="7" formatCode="#,##0.00">
                  <c:v>1242.4000000000001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716096"/>
        <c:axId val="249718272"/>
      </c:barChart>
      <c:lineChart>
        <c:grouping val="standard"/>
        <c:varyColors val="0"/>
        <c:ser>
          <c:idx val="1"/>
          <c:order val="1"/>
          <c:tx>
            <c:strRef>
              <c:f>'P&amp;C Worksheet'!$H$128</c:f>
              <c:strCache>
                <c:ptCount val="1"/>
                <c:pt idx="0">
                  <c:v>% change 2016 - 2017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marker>
            <c:spPr>
              <a:solidFill>
                <a:schemeClr val="tx2">
                  <a:lumMod val="75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marker>
          <c:val>
            <c:numRef>
              <c:f>'P&amp;C Worksheet'!$H$129:$H$136</c:f>
              <c:numCache>
                <c:formatCode>0.0%</c:formatCode>
                <c:ptCount val="8"/>
                <c:pt idx="0">
                  <c:v>-3.8576795153258563E-2</c:v>
                </c:pt>
                <c:pt idx="1">
                  <c:v>-3.5337411715964287E-2</c:v>
                </c:pt>
                <c:pt idx="2">
                  <c:v>3.660318622841445E-2</c:v>
                </c:pt>
                <c:pt idx="3">
                  <c:v>-0.12634413709520048</c:v>
                </c:pt>
                <c:pt idx="4">
                  <c:v>-0.1613222343976215</c:v>
                </c:pt>
                <c:pt idx="5">
                  <c:v>5.5249638953109838E-2</c:v>
                </c:pt>
                <c:pt idx="6">
                  <c:v>-6.1648670096881221E-2</c:v>
                </c:pt>
                <c:pt idx="7" formatCode="0.00%">
                  <c:v>-3.3000000000000002E-2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729792"/>
        <c:axId val="249719808"/>
      </c:lineChart>
      <c:catAx>
        <c:axId val="24971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249718272"/>
        <c:crosses val="autoZero"/>
        <c:auto val="1"/>
        <c:lblAlgn val="ctr"/>
        <c:lblOffset val="100"/>
        <c:noMultiLvlLbl val="0"/>
      </c:catAx>
      <c:valAx>
        <c:axId val="24971827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249716096"/>
        <c:crosses val="autoZero"/>
        <c:crossBetween val="between"/>
      </c:valAx>
      <c:valAx>
        <c:axId val="24971980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crossAx val="249729792"/>
        <c:crosses val="max"/>
        <c:crossBetween val="between"/>
      </c:valAx>
      <c:catAx>
        <c:axId val="249729792"/>
        <c:scaling>
          <c:orientation val="minMax"/>
        </c:scaling>
        <c:delete val="1"/>
        <c:axPos val="b"/>
        <c:majorTickMark val="out"/>
        <c:minorTickMark val="none"/>
        <c:tickLblPos val="nextTo"/>
        <c:crossAx val="24971980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7521999945120506"/>
          <c:y val="0.84618942624265503"/>
          <c:w val="0.61854286079986698"/>
          <c:h val="0.1528402356231227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357143369886144"/>
          <c:y val="6.5239167560029593E-2"/>
          <c:w val="0.80488650663974948"/>
          <c:h val="0.6278065746267655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'P&amp;C Worksheet'!$C$27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0.0%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Worksheet'!$A$28:$A$30</c:f>
              <c:strCache>
                <c:ptCount val="3"/>
                <c:pt idx="0">
                  <c:v>Wyndham </c:v>
                </c:pt>
                <c:pt idx="1">
                  <c:v>North West Metro</c:v>
                </c:pt>
                <c:pt idx="2">
                  <c:v>Victoria</c:v>
                </c:pt>
              </c:strCache>
            </c:strRef>
          </c:cat>
          <c:val>
            <c:numRef>
              <c:f>'P&amp;C Worksheet'!$C$28:$C$30</c:f>
              <c:numCache>
                <c:formatCode>0.00%</c:formatCode>
                <c:ptCount val="3"/>
                <c:pt idx="0">
                  <c:v>0.35199999999999998</c:v>
                </c:pt>
                <c:pt idx="1">
                  <c:v>0.39</c:v>
                </c:pt>
                <c:pt idx="2">
                  <c:v>0.41399999999999998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970176"/>
        <c:axId val="47971712"/>
      </c:barChart>
      <c:catAx>
        <c:axId val="47970176"/>
        <c:scaling>
          <c:orientation val="minMax"/>
        </c:scaling>
        <c:delete val="0"/>
        <c:axPos val="b"/>
        <c:majorTickMark val="out"/>
        <c:minorTickMark val="none"/>
        <c:tickLblPos val="nextTo"/>
        <c:crossAx val="47971712"/>
        <c:crosses val="autoZero"/>
        <c:auto val="1"/>
        <c:lblAlgn val="ctr"/>
        <c:lblOffset val="100"/>
        <c:noMultiLvlLbl val="0"/>
      </c:catAx>
      <c:valAx>
        <c:axId val="479717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4797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1731039482889717"/>
          <c:y val="0.84624775267769758"/>
          <c:w val="0.40568596019739517"/>
          <c:h val="0.1537521936937291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Sheet1!$A$128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0.0%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Sheet1!$B$128:$D$128</c:f>
              <c:numCache>
                <c:formatCode>0%</c:formatCode>
                <c:ptCount val="3"/>
                <c:pt idx="0">
                  <c:v>0.90700000000000003</c:v>
                </c:pt>
                <c:pt idx="1">
                  <c:v>0.89</c:v>
                </c:pt>
                <c:pt idx="2">
                  <c:v>0.92400000000000004</c:v>
                </c:pt>
              </c:numCache>
            </c:numRef>
          </c:val>
        </c:ser>
        <c:ser>
          <c:idx val="1"/>
          <c:order val="1"/>
          <c:tx>
            <c:strRef>
              <c:f>Sheet1!$A$129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5990338753820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698872854612427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9951693769115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%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Sheet1!$B$127:$D$127</c:f>
              <c:strCache>
                <c:ptCount val="3"/>
                <c:pt idx="0">
                  <c:v>12-15 months </c:v>
                </c:pt>
                <c:pt idx="1">
                  <c:v>24-27 months </c:v>
                </c:pt>
                <c:pt idx="2">
                  <c:v>60-63 months </c:v>
                </c:pt>
              </c:strCache>
            </c:strRef>
          </c:cat>
          <c:val>
            <c:numRef>
              <c:f>Sheet1!$B$129:$D$129</c:f>
              <c:numCache>
                <c:formatCode>0%</c:formatCode>
                <c:ptCount val="3"/>
                <c:pt idx="0">
                  <c:v>0.91200000000000003</c:v>
                </c:pt>
                <c:pt idx="1">
                  <c:v>0.89600000000000002</c:v>
                </c:pt>
                <c:pt idx="2">
                  <c:v>0.92600000000000005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8156928"/>
        <c:axId val="248158464"/>
      </c:barChart>
      <c:catAx>
        <c:axId val="248156928"/>
        <c:scaling>
          <c:orientation val="minMax"/>
        </c:scaling>
        <c:delete val="0"/>
        <c:axPos val="b"/>
        <c:majorTickMark val="out"/>
        <c:minorTickMark val="none"/>
        <c:tickLblPos val="nextTo"/>
        <c:crossAx val="248158464"/>
        <c:crosses val="autoZero"/>
        <c:auto val="1"/>
        <c:lblAlgn val="ctr"/>
        <c:lblOffset val="100"/>
        <c:noMultiLvlLbl val="0"/>
      </c:catAx>
      <c:valAx>
        <c:axId val="248158464"/>
        <c:scaling>
          <c:orientation val="minMax"/>
          <c:min val="0.5"/>
        </c:scaling>
        <c:delete val="0"/>
        <c:axPos val="l"/>
        <c:majorGridlines/>
        <c:numFmt formatCode=".0%" sourceLinked="0"/>
        <c:majorTickMark val="out"/>
        <c:minorTickMark val="none"/>
        <c:tickLblPos val="nextTo"/>
        <c:crossAx val="2481569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7814954039503"/>
          <c:y val="7.8632636877402864E-2"/>
          <c:w val="0.72520384433811058"/>
          <c:h val="0.67311705389437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Worksheet'!$A$58</c:f>
              <c:strCache>
                <c:ptCount val="1"/>
                <c:pt idx="0">
                  <c:v>Wyndham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Worksheet'!$D$58</c:f>
              <c:numCache>
                <c:formatCode>0%</c:formatCode>
                <c:ptCount val="1"/>
                <c:pt idx="0">
                  <c:v>0.52</c:v>
                </c:pt>
              </c:numCache>
            </c:numRef>
          </c:val>
        </c:ser>
        <c:ser>
          <c:idx val="1"/>
          <c:order val="1"/>
          <c:tx>
            <c:strRef>
              <c:f>'P&amp;C Worksheet'!$A$59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solidFill>
                <a:schemeClr val="accent1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Worksheet'!$D$59</c:f>
              <c:numCache>
                <c:formatCode>0%</c:formatCode>
                <c:ptCount val="1"/>
                <c:pt idx="0">
                  <c:v>0.54</c:v>
                </c:pt>
              </c:numCache>
            </c:numRef>
          </c:val>
        </c:ser>
        <c:ser>
          <c:idx val="2"/>
          <c:order val="2"/>
          <c:tx>
            <c:strRef>
              <c:f>'P&amp;C Worksheet'!$A$60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Worksheet'!$D$57</c:f>
              <c:strCache>
                <c:ptCount val="1"/>
                <c:pt idx="0">
                  <c:v>Increase lifetime risk</c:v>
                </c:pt>
              </c:strCache>
            </c:strRef>
          </c:cat>
          <c:val>
            <c:numRef>
              <c:f>'P&amp;C Worksheet'!$D$60</c:f>
              <c:numCache>
                <c:formatCode>0%</c:formatCode>
                <c:ptCount val="1"/>
                <c:pt idx="0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193792"/>
        <c:axId val="248195328"/>
      </c:barChart>
      <c:catAx>
        <c:axId val="248193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48195328"/>
        <c:crosses val="autoZero"/>
        <c:auto val="1"/>
        <c:lblAlgn val="ctr"/>
        <c:lblOffset val="100"/>
        <c:noMultiLvlLbl val="0"/>
      </c:catAx>
      <c:valAx>
        <c:axId val="248195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248193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9316657580531755E-2"/>
          <c:y val="0.86083214093456173"/>
          <c:w val="0.88847747658485698"/>
          <c:h val="0.1364496696918425"/>
        </c:manualLayout>
      </c:layout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48732324429738"/>
          <c:y val="7.2843727107504447E-2"/>
          <c:w val="0.79734333504169963"/>
          <c:h val="0.62501097806556671"/>
        </c:manualLayout>
      </c:layout>
      <c:lineChart>
        <c:grouping val="standard"/>
        <c:varyColors val="0"/>
        <c:ser>
          <c:idx val="0"/>
          <c:order val="0"/>
          <c:tx>
            <c:strRef>
              <c:f>'P&amp;C Worksheet'!$A$70</c:f>
              <c:strCache>
                <c:ptCount val="1"/>
                <c:pt idx="0">
                  <c:v>Wyndham </c:v>
                </c:pt>
              </c:strCache>
            </c:strRef>
          </c:tx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Worksheet'!$B$70:$D$70</c:f>
              <c:numCache>
                <c:formatCode>0%</c:formatCode>
                <c:ptCount val="3"/>
                <c:pt idx="0">
                  <c:v>0.23100000000000001</c:v>
                </c:pt>
                <c:pt idx="1">
                  <c:v>0.17699999999999999</c:v>
                </c:pt>
                <c:pt idx="2">
                  <c:v>0.13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'P&amp;C Worksheet'!$A$71</c:f>
              <c:strCache>
                <c:ptCount val="1"/>
                <c:pt idx="0">
                  <c:v>North West Metro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marker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20000"/>
                    <a:lumOff val="8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Worksheet'!$B$71:$D$71</c:f>
              <c:numCache>
                <c:formatCode>0%</c:formatCode>
                <c:ptCount val="3"/>
                <c:pt idx="0">
                  <c:v>0.2</c:v>
                </c:pt>
                <c:pt idx="1">
                  <c:v>0.16700000000000001</c:v>
                </c:pt>
                <c:pt idx="2">
                  <c:v>0.13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'P&amp;C Worksheet'!$A$72</c:f>
              <c:strCache>
                <c:ptCount val="1"/>
                <c:pt idx="0">
                  <c:v>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cat>
            <c:numRef>
              <c:f>'P&amp;C Worksheet'!$B$69:$D$69</c:f>
              <c:numCache>
                <c:formatCode>General</c:formatCode>
                <c:ptCount val="3"/>
                <c:pt idx="0">
                  <c:v>2008</c:v>
                </c:pt>
                <c:pt idx="1">
                  <c:v>2011</c:v>
                </c:pt>
                <c:pt idx="2">
                  <c:v>2014</c:v>
                </c:pt>
              </c:numCache>
            </c:numRef>
          </c:cat>
          <c:val>
            <c:numRef>
              <c:f>'P&amp;C Worksheet'!$B$72:$D$72</c:f>
              <c:numCache>
                <c:formatCode>0%</c:formatCode>
                <c:ptCount val="3"/>
                <c:pt idx="0">
                  <c:v>0.191</c:v>
                </c:pt>
                <c:pt idx="1">
                  <c:v>0.157</c:v>
                </c:pt>
                <c:pt idx="2">
                  <c:v>0.13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8245248"/>
        <c:axId val="248247424"/>
      </c:lineChart>
      <c:catAx>
        <c:axId val="24824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8247424"/>
        <c:crosses val="autoZero"/>
        <c:auto val="1"/>
        <c:lblAlgn val="ctr"/>
        <c:lblOffset val="100"/>
        <c:noMultiLvlLbl val="0"/>
      </c:catAx>
      <c:valAx>
        <c:axId val="248247424"/>
        <c:scaling>
          <c:orientation val="minMax"/>
          <c:min val="0.1200000000000000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8245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0490564173347135E-2"/>
          <c:y val="0.81627987712832406"/>
          <c:w val="0.94757489633322467"/>
          <c:h val="0.1150393183100633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342457192850894"/>
          <c:y val="6.6086426696662912E-2"/>
          <c:w val="0.72927439625602353"/>
          <c:h val="0.653844206974128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'P&amp;C Worksheet'!$A$82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Worksheet'!$B$82:$C$82</c:f>
              <c:numCache>
                <c:formatCode>0.00%</c:formatCode>
                <c:ptCount val="2"/>
                <c:pt idx="0">
                  <c:v>0.189</c:v>
                </c:pt>
                <c:pt idx="1">
                  <c:v>0.23200000000000001</c:v>
                </c:pt>
              </c:numCache>
            </c:numRef>
          </c:val>
        </c:ser>
        <c:ser>
          <c:idx val="1"/>
          <c:order val="1"/>
          <c:tx>
            <c:strRef>
              <c:f>'P&amp;C Worksheet'!$A$83</c:f>
              <c:strCache>
                <c:ptCount val="1"/>
                <c:pt idx="0">
                  <c:v>North West Metro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Worksheet'!$B$83:$C$83</c:f>
              <c:numCache>
                <c:formatCode>0.00%</c:formatCode>
                <c:ptCount val="2"/>
                <c:pt idx="0">
                  <c:v>0.19500000000000001</c:v>
                </c:pt>
                <c:pt idx="1">
                  <c:v>0.22500000000000001</c:v>
                </c:pt>
              </c:numCache>
            </c:numRef>
          </c:val>
        </c:ser>
        <c:ser>
          <c:idx val="2"/>
          <c:order val="2"/>
          <c:tx>
            <c:strRef>
              <c:f>'P&amp;C Worksheet'!$A$84</c:f>
              <c:strCache>
                <c:ptCount val="1"/>
                <c:pt idx="0">
                  <c:v>Victoria</c:v>
                </c:pt>
              </c:strCache>
            </c:strRef>
          </c:tx>
          <c:spPr>
            <a:solidFill>
              <a:schemeClr val="tx2">
                <a:lumMod val="50000"/>
              </a:schemeClr>
            </a:solidFill>
          </c:spPr>
          <c:invertIfNegative val="0"/>
          <c:dLbls>
            <c:numFmt formatCode=".0%" sourceLinked="0"/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Worksheet'!$B$81:$C$81</c:f>
              <c:strCache>
                <c:ptCount val="2"/>
                <c:pt idx="0">
                  <c:v>2011/2012</c:v>
                </c:pt>
                <c:pt idx="1">
                  <c:v>2014</c:v>
                </c:pt>
              </c:strCache>
            </c:strRef>
          </c:cat>
          <c:val>
            <c:numRef>
              <c:f>'P&amp;C Worksheet'!$B$84:$C$84</c:f>
              <c:numCache>
                <c:formatCode>0.00%</c:formatCode>
                <c:ptCount val="2"/>
                <c:pt idx="0">
                  <c:v>0.19900000000000001</c:v>
                </c:pt>
                <c:pt idx="1">
                  <c:v>0.24199999999999999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49376"/>
        <c:axId val="248550912"/>
      </c:barChart>
      <c:catAx>
        <c:axId val="248549376"/>
        <c:scaling>
          <c:orientation val="minMax"/>
        </c:scaling>
        <c:delete val="0"/>
        <c:axPos val="b"/>
        <c:majorTickMark val="out"/>
        <c:minorTickMark val="none"/>
        <c:tickLblPos val="nextTo"/>
        <c:crossAx val="248550912"/>
        <c:crosses val="autoZero"/>
        <c:auto val="1"/>
        <c:lblAlgn val="ctr"/>
        <c:lblOffset val="100"/>
        <c:noMultiLvlLbl val="0"/>
      </c:catAx>
      <c:valAx>
        <c:axId val="2485509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48549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137621686178118"/>
          <c:y val="0.86235470566179218"/>
          <c:w val="0.75516699301476209"/>
          <c:h val="9.07663104611923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Lbls>
            <c:numFmt formatCode="#,##0.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Worksheet'!$A$91:$A$96</c:f>
              <c:strCache>
                <c:ptCount val="6"/>
                <c:pt idx="0">
                  <c:v>Wyndham </c:v>
                </c:pt>
                <c:pt idx="1">
                  <c:v>Whittlesea</c:v>
                </c:pt>
                <c:pt idx="2">
                  <c:v>Melton</c:v>
                </c:pt>
                <c:pt idx="3">
                  <c:v>Hume</c:v>
                </c:pt>
                <c:pt idx="4">
                  <c:v>Casey</c:v>
                </c:pt>
                <c:pt idx="5">
                  <c:v>Cardinia</c:v>
                </c:pt>
              </c:strCache>
            </c:strRef>
          </c:cat>
          <c:val>
            <c:numRef>
              <c:f>'P&amp;C Worksheet'!$B$91:$B$96</c:f>
              <c:numCache>
                <c:formatCode>General</c:formatCode>
                <c:ptCount val="6"/>
                <c:pt idx="0">
                  <c:v>5.68</c:v>
                </c:pt>
                <c:pt idx="1">
                  <c:v>3.17</c:v>
                </c:pt>
                <c:pt idx="2">
                  <c:v>5.03</c:v>
                </c:pt>
                <c:pt idx="3">
                  <c:v>5.53</c:v>
                </c:pt>
                <c:pt idx="4">
                  <c:v>4.04</c:v>
                </c:pt>
                <c:pt idx="5">
                  <c:v>4.1500000000000004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8568064"/>
        <c:axId val="249626624"/>
      </c:barChart>
      <c:catAx>
        <c:axId val="248568064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26624"/>
        <c:crosses val="autoZero"/>
        <c:auto val="1"/>
        <c:lblAlgn val="ctr"/>
        <c:lblOffset val="100"/>
        <c:noMultiLvlLbl val="0"/>
      </c:catAx>
      <c:valAx>
        <c:axId val="249626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85680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+mj-lt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'P&amp;C Worksheet'!$A$102:$C$102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'P&amp;C Worksheet'!$A$103:$C$103</c:f>
              <c:numCache>
                <c:formatCode>0.00</c:formatCode>
                <c:ptCount val="3"/>
                <c:pt idx="0">
                  <c:v>8.24</c:v>
                </c:pt>
                <c:pt idx="1">
                  <c:v>8.3699999999999992</c:v>
                </c:pt>
                <c:pt idx="2" formatCode="General">
                  <c:v>7.95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646080"/>
        <c:axId val="249647872"/>
      </c:lineChart>
      <c:catAx>
        <c:axId val="249646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9647872"/>
        <c:crosses val="autoZero"/>
        <c:auto val="1"/>
        <c:lblAlgn val="ctr"/>
        <c:lblOffset val="100"/>
        <c:noMultiLvlLbl val="0"/>
      </c:catAx>
      <c:valAx>
        <c:axId val="24964787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496460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'P&amp;C Worksheet'!$A$118</c:f>
              <c:strCache>
                <c:ptCount val="1"/>
                <c:pt idx="0">
                  <c:v>Wyndham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'P&amp;C Worksheet'!$B$115:$F$115</c:f>
              <c:strCache>
                <c:ptCount val="5"/>
                <c:pt idx="0">
                  <c:v> 2012 -  2013</c:v>
                </c:pt>
                <c:pt idx="1">
                  <c:v> 2013 -  2014</c:v>
                </c:pt>
                <c:pt idx="2">
                  <c:v> 2014 -  2015</c:v>
                </c:pt>
                <c:pt idx="3">
                  <c:v> 2015 -  2016</c:v>
                </c:pt>
                <c:pt idx="4">
                  <c:v> 2016 -  2017</c:v>
                </c:pt>
              </c:strCache>
            </c:strRef>
          </c:cat>
          <c:val>
            <c:numRef>
              <c:f>'P&amp;C Worksheet'!$B$118:$F$118</c:f>
              <c:numCache>
                <c:formatCode>#,##0</c:formatCode>
                <c:ptCount val="5"/>
                <c:pt idx="0">
                  <c:v>1995</c:v>
                </c:pt>
                <c:pt idx="1">
                  <c:v>2274</c:v>
                </c:pt>
                <c:pt idx="2">
                  <c:v>2473</c:v>
                </c:pt>
                <c:pt idx="3">
                  <c:v>3014</c:v>
                </c:pt>
                <c:pt idx="4">
                  <c:v>2717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683968"/>
        <c:axId val="249685504"/>
      </c:barChart>
      <c:catAx>
        <c:axId val="24968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49685504"/>
        <c:crosses val="autoZero"/>
        <c:auto val="1"/>
        <c:lblAlgn val="ctr"/>
        <c:lblOffset val="100"/>
        <c:noMultiLvlLbl val="0"/>
      </c:catAx>
      <c:valAx>
        <c:axId val="2496855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9683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561051-A533-443E-8779-BF57FA3A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Images.dotx</Template>
  <TotalTime>0</TotalTime>
  <Pages>5</Pages>
  <Words>568</Words>
  <Characters>3243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3804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2</cp:revision>
  <dcterms:created xsi:type="dcterms:W3CDTF">2017-11-15T21:35:00Z</dcterms:created>
  <dcterms:modified xsi:type="dcterms:W3CDTF">2017-11-15T21:35:00Z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A1697165</vt:lpwstr>
  </property>
  <property fmtid="{D5CDD505-2E9C-101B-9397-08002B2CF9AE}" pid="4" name="Objective-Title">
    <vt:lpwstr>City Plan - Strategic Indicators - People and Community 5.06.17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2017-06-05T04:57:59Z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2017-06-23T04:58:17Z</vt:filetime>
  </property>
  <property fmtid="{D5CDD505-2E9C-101B-9397-08002B2CF9AE}" pid="10" name="Objective-ModificationStamp">
    <vt:filetime>2017-06-23T04:58:17Z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Materials:Statistics:</vt:lpwstr>
  </property>
  <property fmtid="{D5CDD505-2E9C-101B-9397-08002B2CF9AE}" pid="13" name="Objective-Parent">
    <vt:lpwstr>Statistics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