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BE10D3" w:rsidRDefault="00BE10D3" w:rsidP="00BE10D3">
          <w:r>
            <w:rPr>
              <w:noProof/>
              <w:lang w:eastAsia="en-AU"/>
            </w:rPr>
            <w:drawing>
              <wp:anchor distT="0" distB="0" distL="114300" distR="114300" simplePos="0" relativeHeight="251659264" behindDoc="0" locked="0" layoutInCell="1" allowOverlap="1" wp14:anchorId="278D0A1B" wp14:editId="68C97537">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rsidR="00BE10D3" w:rsidRDefault="00BE10D3" w:rsidP="00BE10D3"/>
        <w:p w:rsidR="00BE10D3" w:rsidRDefault="00BE10D3" w:rsidP="00BE10D3"/>
        <w:p w:rsidR="00BE10D3" w:rsidRDefault="00BE10D3" w:rsidP="00BE10D3">
          <w:r w:rsidRPr="009E4461">
            <w:rPr>
              <w:noProof/>
              <w:lang w:eastAsia="en-AU"/>
            </w:rPr>
            <mc:AlternateContent>
              <mc:Choice Requires="wps">
                <w:drawing>
                  <wp:anchor distT="0" distB="0" distL="114300" distR="114300" simplePos="0" relativeHeight="251661312" behindDoc="0" locked="0" layoutInCell="1" allowOverlap="1" wp14:anchorId="13A29CCB" wp14:editId="6065DB1B">
                    <wp:simplePos x="0" y="0"/>
                    <wp:positionH relativeFrom="column">
                      <wp:posOffset>-431505</wp:posOffset>
                    </wp:positionH>
                    <wp:positionV relativeFrom="paragraph">
                      <wp:posOffset>6602701</wp:posOffset>
                    </wp:positionV>
                    <wp:extent cx="433133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BE10D3" w:rsidRPr="005A7DD7" w:rsidRDefault="005F03EC" w:rsidP="00BE10D3">
                                <w:pPr>
                                  <w:spacing w:after="0" w:line="240" w:lineRule="auto"/>
                                  <w:rPr>
                                    <w:rFonts w:ascii="DaxOT-Regular" w:hAnsi="DaxOT-Regular"/>
                                    <w:color w:val="002060"/>
                                    <w:sz w:val="28"/>
                                    <w:szCs w:val="36"/>
                                  </w:rPr>
                                </w:pPr>
                                <w:r>
                                  <w:rPr>
                                    <w:rFonts w:ascii="DaxOT-Regular" w:hAnsi="DaxOT-Regular"/>
                                    <w:color w:val="002060"/>
                                    <w:sz w:val="36"/>
                                    <w:szCs w:val="44"/>
                                  </w:rPr>
                                  <w:t>June</w:t>
                                </w:r>
                                <w:r w:rsidR="00BE10D3" w:rsidRPr="005A7DD7">
                                  <w:rPr>
                                    <w:rFonts w:ascii="DaxOT-Regular" w:hAnsi="DaxOT-Regular"/>
                                    <w:color w:val="002060"/>
                                    <w:sz w:val="36"/>
                                    <w:szCs w:val="44"/>
                                  </w:rPr>
                                  <w:t xml:space="preserve"> 201</w:t>
                                </w:r>
                                <w:r w:rsidR="00BE10D3">
                                  <w:rPr>
                                    <w:rFonts w:ascii="DaxOT-Regular" w:hAnsi="DaxOT-Regular"/>
                                    <w:color w:val="002060"/>
                                    <w:sz w:val="36"/>
                                    <w:szCs w:val="44"/>
                                  </w:rPr>
                                  <w:t>7</w:t>
                                </w:r>
                              </w:p>
                              <w:p w:rsidR="00BE10D3" w:rsidRPr="003C2A03" w:rsidRDefault="00BE10D3" w:rsidP="00BE10D3">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519.9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" filled="f" stroked="f">
                    <v:textbox style="mso-fit-shape-to-text:t">
                      <w:txbxContent>
                        <w:p w:rsidR="00BE10D3" w:rsidRPr="005A7DD7" w:rsidRDefault="005F03EC" w:rsidP="00BE10D3">
                          <w:pPr>
                            <w:spacing w:after="0" w:line="240" w:lineRule="auto"/>
                            <w:rPr>
                              <w:rFonts w:ascii="DaxOT-Regular" w:hAnsi="DaxOT-Regular"/>
                              <w:color w:val="002060"/>
                              <w:sz w:val="28"/>
                              <w:szCs w:val="36"/>
                            </w:rPr>
                          </w:pPr>
                          <w:r>
                            <w:rPr>
                              <w:rFonts w:ascii="DaxOT-Regular" w:hAnsi="DaxOT-Regular"/>
                              <w:color w:val="002060"/>
                              <w:sz w:val="36"/>
                              <w:szCs w:val="44"/>
                            </w:rPr>
                            <w:t>June</w:t>
                          </w:r>
                          <w:r w:rsidR="00BE10D3" w:rsidRPr="005A7DD7">
                            <w:rPr>
                              <w:rFonts w:ascii="DaxOT-Regular" w:hAnsi="DaxOT-Regular"/>
                              <w:color w:val="002060"/>
                              <w:sz w:val="36"/>
                              <w:szCs w:val="44"/>
                            </w:rPr>
                            <w:t xml:space="preserve"> 201</w:t>
                          </w:r>
                          <w:r w:rsidR="00BE10D3">
                            <w:rPr>
                              <w:rFonts w:ascii="DaxOT-Regular" w:hAnsi="DaxOT-Regular"/>
                              <w:color w:val="002060"/>
                              <w:sz w:val="36"/>
                              <w:szCs w:val="44"/>
                            </w:rPr>
                            <w:t>7</w:t>
                          </w:r>
                        </w:p>
                        <w:p w:rsidR="00BE10D3" w:rsidRPr="003C2A03" w:rsidRDefault="00BE10D3" w:rsidP="00BE10D3">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3E937FF6" wp14:editId="3BA0E273">
                    <wp:simplePos x="0" y="0"/>
                    <wp:positionH relativeFrom="column">
                      <wp:posOffset>-517525</wp:posOffset>
                    </wp:positionH>
                    <wp:positionV relativeFrom="paragraph">
                      <wp:posOffset>5887720</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BE10D3" w:rsidRPr="002D26EB" w:rsidRDefault="00BE10D3" w:rsidP="00BE10D3">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 xml:space="preserve">Quarterly Growth Indicators </w:t>
                                </w:r>
                              </w:p>
                              <w:p w:rsidR="00BE10D3" w:rsidRPr="003C2A03" w:rsidRDefault="00BE10D3" w:rsidP="00BE10D3">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5pt;margin-top:463.6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" filled="f" stroked="f">
                    <v:textbox>
                      <w:txbxContent>
                        <w:p w:rsidR="00BE10D3" w:rsidRPr="002D26EB" w:rsidRDefault="00BE10D3" w:rsidP="00BE10D3">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 xml:space="preserve">Quarterly Growth Indicators </w:t>
                          </w:r>
                        </w:p>
                        <w:p w:rsidR="00BE10D3" w:rsidRPr="003C2A03" w:rsidRDefault="00BE10D3" w:rsidP="00BE10D3">
                          <w:pPr>
                            <w:rPr>
                              <w:rFonts w:ascii="DaxOT-Medium" w:hAnsi="DaxOT-Medium"/>
                              <w:color w:val="7030A0"/>
                            </w:rPr>
                          </w:pPr>
                        </w:p>
                      </w:txbxContent>
                    </v:textbox>
                  </v:shape>
                </w:pict>
              </mc:Fallback>
            </mc:AlternateContent>
          </w:r>
          <w:r>
            <w:br w:type="page"/>
          </w:r>
        </w:p>
        <w:p w:rsidR="00BE10D3" w:rsidRPr="00BE10D3" w:rsidRDefault="00BE10D3" w:rsidP="00BE10D3">
          <w:pPr>
            <w:shd w:val="clear" w:color="auto" w:fill="FFFFFF"/>
            <w:spacing w:after="0" w:line="336" w:lineRule="atLeast"/>
            <w:jc w:val="both"/>
            <w:rPr>
              <w:rFonts w:ascii="Calibri" w:hAnsi="Calibri"/>
              <w:color w:val="666666"/>
              <w:sz w:val="26"/>
              <w:szCs w:val="26"/>
            </w:rPr>
          </w:pPr>
          <w:r w:rsidRPr="008A6B08">
            <w:rPr>
              <w:rFonts w:eastAsia="Times New Roman" w:cstheme="minorHAnsi"/>
              <w:color w:val="000000"/>
              <w:lang w:val="en"/>
            </w:rPr>
            <w:lastRenderedPageBreak/>
            <w:t xml:space="preserve">The </w:t>
          </w:r>
          <w:r>
            <w:rPr>
              <w:rFonts w:eastAsia="Times New Roman" w:cstheme="minorHAnsi"/>
              <w:color w:val="000000"/>
              <w:lang w:val="en"/>
            </w:rPr>
            <w:t>p</w:t>
          </w:r>
          <w:r w:rsidRPr="008A6B08">
            <w:rPr>
              <w:rFonts w:eastAsia="Times New Roman" w:cstheme="minorHAnsi"/>
              <w:color w:val="000000"/>
              <w:lang w:val="en"/>
            </w:rPr>
            <w:t xml:space="preserve">rimary </w:t>
          </w:r>
          <w:r>
            <w:rPr>
              <w:rFonts w:eastAsia="Times New Roman" w:cstheme="minorHAnsi"/>
              <w:color w:val="000000"/>
              <w:lang w:val="en"/>
            </w:rPr>
            <w:t>o</w:t>
          </w:r>
          <w:r w:rsidRPr="008A6B08">
            <w:rPr>
              <w:rFonts w:eastAsia="Times New Roman" w:cstheme="minorHAnsi"/>
              <w:color w:val="000000"/>
              <w:lang w:val="en"/>
            </w:rPr>
            <w:t xml:space="preserve">bjective of the City of Wyndham </w:t>
          </w:r>
          <w:r w:rsidRPr="009D593E">
            <w:rPr>
              <w:rFonts w:eastAsia="Times New Roman" w:cstheme="minorHAnsi"/>
              <w:i/>
              <w:color w:val="000000"/>
              <w:lang w:val="en"/>
            </w:rPr>
            <w:t>Quarterly</w:t>
          </w:r>
          <w:r w:rsidRPr="008A6B08">
            <w:rPr>
              <w:rFonts w:eastAsia="Times New Roman" w:cstheme="minorHAnsi"/>
              <w:i/>
              <w:color w:val="000000"/>
              <w:lang w:val="en"/>
            </w:rPr>
            <w:t xml:space="preserve"> Growth Indicators</w:t>
          </w:r>
          <w:r w:rsidRPr="008A6B08">
            <w:rPr>
              <w:rFonts w:eastAsia="Times New Roman" w:cstheme="minorHAnsi"/>
              <w:color w:val="000000"/>
              <w:lang w:val="en"/>
            </w:rPr>
            <w:t xml:space="preserve"> is to provide a </w:t>
          </w:r>
          <w:r>
            <w:rPr>
              <w:rFonts w:eastAsia="Times New Roman" w:cstheme="minorHAnsi"/>
              <w:color w:val="000000"/>
              <w:lang w:val="en"/>
            </w:rPr>
            <w:t>summary</w:t>
          </w:r>
          <w:r w:rsidRPr="008A6B08">
            <w:rPr>
              <w:rFonts w:eastAsia="Times New Roman" w:cstheme="minorHAnsi"/>
              <w:color w:val="000000"/>
              <w:lang w:val="en"/>
            </w:rPr>
            <w:t xml:space="preserve"> of growth information that meets the needs of Council and stakeholders.</w:t>
          </w:r>
          <w:r>
            <w:rPr>
              <w:rFonts w:eastAsia="Times New Roman" w:cstheme="minorHAnsi"/>
              <w:color w:val="000000"/>
              <w:lang w:val="en"/>
            </w:rPr>
            <w:t xml:space="preserve"> </w:t>
          </w:r>
          <w:r w:rsidR="005E23FC">
            <w:rPr>
              <w:rFonts w:eastAsia="Times New Roman" w:cstheme="minorHAnsi"/>
              <w:color w:val="000000"/>
              <w:lang w:val="en"/>
            </w:rPr>
            <w:t>According to the latest ABS release of estimated resident population figures, b</w:t>
          </w:r>
          <w:r w:rsidRPr="00BE10D3">
            <w:rPr>
              <w:rFonts w:ascii="Calibri" w:hAnsi="Calibri"/>
            </w:rPr>
            <w:t>etween</w:t>
          </w:r>
          <w:r w:rsidR="005E23FC">
            <w:rPr>
              <w:rFonts w:ascii="Calibri" w:hAnsi="Calibri"/>
            </w:rPr>
            <w:t xml:space="preserve"> 2015 and 2016</w:t>
          </w:r>
          <w:r w:rsidRPr="00BE10D3">
            <w:rPr>
              <w:rFonts w:ascii="Calibri" w:hAnsi="Calibri"/>
            </w:rPr>
            <w:t xml:space="preserve"> Wyndham was the larges</w:t>
          </w:r>
          <w:r w:rsidR="005F03EC">
            <w:rPr>
              <w:rFonts w:ascii="Calibri" w:hAnsi="Calibri"/>
            </w:rPr>
            <w:t>t growing municipality Victoria-</w:t>
          </w:r>
          <w:r w:rsidRPr="00BE10D3">
            <w:rPr>
              <w:rFonts w:ascii="Calibri" w:hAnsi="Calibri"/>
            </w:rPr>
            <w:t xml:space="preserve">wide, increasing its population by </w:t>
          </w:r>
          <w:r w:rsidR="005F03EC">
            <w:rPr>
              <w:rFonts w:ascii="Calibri" w:hAnsi="Calibri"/>
            </w:rPr>
            <w:t>13,216 persons, or 6.2%</w:t>
          </w:r>
          <w:r>
            <w:rPr>
              <w:rStyle w:val="FootnoteReference"/>
              <w:rFonts w:ascii="Calibri" w:hAnsi="Calibri"/>
            </w:rPr>
            <w:footnoteReference w:id="1"/>
          </w:r>
          <w:r w:rsidR="00E97F89">
            <w:rPr>
              <w:rFonts w:ascii="Calibri" w:hAnsi="Calibri"/>
            </w:rPr>
            <w:t xml:space="preserve">. </w:t>
          </w:r>
          <w:r w:rsidR="00E97F89" w:rsidRPr="00E97F89">
            <w:rPr>
              <w:rFonts w:ascii="Calibri" w:hAnsi="Calibri"/>
            </w:rPr>
            <w:t>A</w:t>
          </w:r>
          <w:r w:rsidR="00E97F89">
            <w:rPr>
              <w:rFonts w:ascii="Calibri" w:hAnsi="Calibri"/>
            </w:rPr>
            <w:t>ccording to the 2016 Census of P</w:t>
          </w:r>
          <w:r w:rsidR="00E97F89" w:rsidRPr="00E97F89">
            <w:rPr>
              <w:rFonts w:ascii="Calibri" w:hAnsi="Calibri"/>
            </w:rPr>
            <w:t xml:space="preserve">opulation and </w:t>
          </w:r>
          <w:r w:rsidR="00E97F89">
            <w:rPr>
              <w:rFonts w:ascii="Calibri" w:hAnsi="Calibri"/>
            </w:rPr>
            <w:t>H</w:t>
          </w:r>
          <w:r w:rsidR="00E97F89" w:rsidRPr="00E97F89">
            <w:rPr>
              <w:rFonts w:ascii="Calibri" w:hAnsi="Calibri"/>
            </w:rPr>
            <w:t>ousing, the usual resident population of Wyndham is 217,122 people. However, considering the Census undercount (5%), the number of residents temporarily living overseas and adjustments for births and deaths, the ABS estimates Wyndham’s total resident population to be closer to 228,088 people</w:t>
          </w:r>
          <w:r w:rsidR="00E97F89">
            <w:rPr>
              <w:rFonts w:ascii="Calibri" w:hAnsi="Calibri"/>
            </w:rPr>
            <w:t>.</w:t>
          </w:r>
          <w:r>
            <w:rPr>
              <w:rFonts w:ascii="Calibri" w:hAnsi="Calibri"/>
              <w:color w:val="666666"/>
              <w:sz w:val="26"/>
              <w:szCs w:val="26"/>
            </w:rPr>
            <w:t xml:space="preserve"> </w:t>
          </w:r>
          <w:r>
            <w:rPr>
              <w:rFonts w:eastAsia="Times New Roman" w:cstheme="minorHAnsi"/>
              <w:color w:val="000000"/>
              <w:lang w:val="en"/>
            </w:rPr>
            <w:t>G</w:t>
          </w:r>
          <w:r w:rsidRPr="008A6B08">
            <w:rPr>
              <w:rFonts w:eastAsia="Times New Roman" w:cstheme="minorHAnsi"/>
              <w:color w:val="000000"/>
              <w:lang w:val="en"/>
            </w:rPr>
            <w:t xml:space="preserve">rowth is forecasted to remain strong for the next 25 years, with a </w:t>
          </w:r>
          <w:r>
            <w:rPr>
              <w:rFonts w:eastAsia="Times New Roman" w:cstheme="minorHAnsi"/>
              <w:color w:val="000000"/>
              <w:lang w:val="en"/>
            </w:rPr>
            <w:t>projected</w:t>
          </w:r>
          <w:r w:rsidRPr="008A6B08">
            <w:rPr>
              <w:rFonts w:eastAsia="Times New Roman" w:cstheme="minorHAnsi"/>
              <w:color w:val="000000"/>
              <w:lang w:val="en"/>
            </w:rPr>
            <w:t xml:space="preserve"> population of </w:t>
          </w:r>
          <w:r>
            <w:rPr>
              <w:rFonts w:eastAsia="Times New Roman" w:cstheme="minorHAnsi"/>
              <w:color w:val="000000"/>
              <w:lang w:val="en"/>
            </w:rPr>
            <w:t>424,476</w:t>
          </w:r>
          <w:r w:rsidRPr="008A6B08">
            <w:rPr>
              <w:rFonts w:eastAsia="Times New Roman" w:cstheme="minorHAnsi"/>
              <w:color w:val="000000"/>
              <w:lang w:val="en"/>
            </w:rPr>
            <w:t xml:space="preserve"> people in 2036</w:t>
          </w:r>
          <w:r>
            <w:rPr>
              <w:rStyle w:val="FootnoteReference"/>
              <w:rFonts w:eastAsia="Times New Roman" w:cstheme="minorHAnsi"/>
              <w:color w:val="000000"/>
              <w:lang w:val="en"/>
            </w:rPr>
            <w:footnoteReference w:id="2"/>
          </w:r>
          <w:r w:rsidRPr="008A6B08">
            <w:rPr>
              <w:rFonts w:eastAsia="Times New Roman" w:cstheme="minorHAnsi"/>
              <w:color w:val="000000"/>
              <w:lang w:val="en"/>
            </w:rPr>
            <w:t xml:space="preserve">. </w:t>
          </w:r>
          <w:r>
            <w:rPr>
              <w:rFonts w:eastAsia="Times New Roman" w:cstheme="minorHAnsi"/>
              <w:color w:val="000000"/>
              <w:lang w:val="en"/>
            </w:rPr>
            <w:t>Large</w:t>
          </w:r>
          <w:r w:rsidRPr="008A6B08">
            <w:rPr>
              <w:rFonts w:eastAsia="Times New Roman" w:cstheme="minorHAnsi"/>
              <w:color w:val="000000"/>
              <w:lang w:val="en"/>
            </w:rPr>
            <w:t xml:space="preserve"> population growth presents opportunities and challenges for Council, stakeholders and the community.</w:t>
          </w:r>
          <w:r>
            <w:rPr>
              <w:rFonts w:eastAsia="Times New Roman" w:cstheme="minorHAnsi"/>
              <w:color w:val="000000"/>
              <w:lang w:val="en"/>
            </w:rPr>
            <w:t xml:space="preserve"> </w:t>
          </w:r>
        </w:p>
        <w:p w:rsidR="00BE10D3" w:rsidRPr="008A6B08" w:rsidRDefault="00BE10D3" w:rsidP="00BE10D3">
          <w:pPr>
            <w:shd w:val="clear" w:color="auto" w:fill="FFFFFF"/>
            <w:spacing w:before="120" w:after="120" w:line="336" w:lineRule="atLeast"/>
            <w:jc w:val="both"/>
            <w:rPr>
              <w:rFonts w:eastAsia="Times New Roman" w:cstheme="minorHAnsi"/>
              <w:color w:val="000000"/>
              <w:lang w:val="en"/>
            </w:rPr>
          </w:pPr>
          <w:r w:rsidRPr="008A6B08">
            <w:rPr>
              <w:rFonts w:eastAsia="Times New Roman" w:cstheme="minorHAnsi"/>
              <w:color w:val="000000"/>
              <w:lang w:val="en"/>
            </w:rPr>
            <w:t xml:space="preserve">The </w:t>
          </w:r>
          <w:r w:rsidRPr="00314ABA">
            <w:rPr>
              <w:rFonts w:eastAsia="Times New Roman" w:cstheme="minorHAnsi"/>
              <w:color w:val="000000"/>
              <w:lang w:val="en"/>
            </w:rPr>
            <w:t>Quarterly Growth Indicators</w:t>
          </w:r>
          <w:r w:rsidRPr="009D593E">
            <w:rPr>
              <w:rFonts w:eastAsia="Times New Roman" w:cstheme="minorHAnsi"/>
              <w:color w:val="000000"/>
              <w:lang w:val="en"/>
            </w:rPr>
            <w:t xml:space="preserve"> </w:t>
          </w:r>
          <w:r w:rsidRPr="008A6B08">
            <w:rPr>
              <w:rFonts w:eastAsia="Times New Roman" w:cstheme="minorHAnsi"/>
              <w:color w:val="000000"/>
              <w:lang w:val="en"/>
            </w:rPr>
            <w:t xml:space="preserve">provide a snapshot of Wyndham’s strong population growth </w:t>
          </w:r>
          <w:r>
            <w:rPr>
              <w:rFonts w:eastAsia="Times New Roman" w:cstheme="minorHAnsi"/>
              <w:color w:val="000000"/>
              <w:lang w:val="en"/>
            </w:rPr>
            <w:t>using the following Council data</w:t>
          </w:r>
          <w:r w:rsidRPr="008A6B08">
            <w:rPr>
              <w:rFonts w:eastAsia="Times New Roman" w:cstheme="minorHAnsi"/>
              <w:color w:val="000000"/>
              <w:lang w:val="en"/>
            </w:rPr>
            <w:t>:</w:t>
          </w:r>
        </w:p>
        <w:p w:rsidR="00BE10D3" w:rsidRPr="00AB17B7" w:rsidRDefault="00BE10D3" w:rsidP="00BE10D3">
          <w:pPr>
            <w:pStyle w:val="ListParagraph"/>
            <w:numPr>
              <w:ilvl w:val="0"/>
              <w:numId w:val="1"/>
            </w:numPr>
            <w:shd w:val="clear" w:color="auto" w:fill="FFFFFF"/>
            <w:spacing w:before="120" w:after="120" w:line="336" w:lineRule="atLeast"/>
            <w:ind w:left="709" w:hanging="425"/>
            <w:jc w:val="both"/>
            <w:rPr>
              <w:rFonts w:eastAsia="Times New Roman" w:cstheme="minorHAnsi"/>
              <w:color w:val="000000"/>
              <w:lang w:val="en"/>
            </w:rPr>
          </w:pPr>
          <w:r>
            <w:rPr>
              <w:rFonts w:eastAsia="Times New Roman" w:cstheme="minorHAnsi"/>
              <w:color w:val="000000"/>
              <w:lang w:val="en"/>
            </w:rPr>
            <w:t xml:space="preserve">Request for new </w:t>
          </w:r>
          <w:r w:rsidRPr="00AB17B7">
            <w:rPr>
              <w:rFonts w:eastAsia="Times New Roman" w:cstheme="minorHAnsi"/>
              <w:color w:val="000000"/>
              <w:lang w:val="en"/>
            </w:rPr>
            <w:t xml:space="preserve">Garbage services </w:t>
          </w:r>
        </w:p>
        <w:p w:rsidR="00BE10D3" w:rsidRPr="00AB17B7" w:rsidRDefault="00BE10D3" w:rsidP="00BE10D3">
          <w:pPr>
            <w:pStyle w:val="ListParagraph"/>
            <w:numPr>
              <w:ilvl w:val="0"/>
              <w:numId w:val="1"/>
            </w:numPr>
            <w:shd w:val="clear" w:color="auto" w:fill="FFFFFF"/>
            <w:spacing w:before="120" w:after="120" w:line="336" w:lineRule="atLeast"/>
            <w:ind w:left="709" w:hanging="425"/>
            <w:jc w:val="both"/>
            <w:rPr>
              <w:rFonts w:eastAsia="Times New Roman" w:cstheme="minorHAnsi"/>
              <w:color w:val="000000"/>
              <w:lang w:val="en"/>
            </w:rPr>
          </w:pPr>
          <w:r w:rsidRPr="00AB17B7">
            <w:rPr>
              <w:rFonts w:eastAsia="Times New Roman" w:cstheme="minorHAnsi"/>
              <w:color w:val="000000"/>
              <w:lang w:val="en"/>
            </w:rPr>
            <w:t xml:space="preserve">New </w:t>
          </w:r>
          <w:r w:rsidR="00631507">
            <w:rPr>
              <w:rFonts w:eastAsia="Times New Roman" w:cstheme="minorHAnsi"/>
              <w:color w:val="000000"/>
              <w:lang w:val="en"/>
            </w:rPr>
            <w:t>d</w:t>
          </w:r>
          <w:r w:rsidRPr="00AB17B7">
            <w:rPr>
              <w:rFonts w:eastAsia="Times New Roman" w:cstheme="minorHAnsi"/>
              <w:color w:val="000000"/>
              <w:lang w:val="en"/>
            </w:rPr>
            <w:t xml:space="preserve">welling </w:t>
          </w:r>
          <w:r w:rsidR="00631507">
            <w:rPr>
              <w:rFonts w:eastAsia="Times New Roman" w:cstheme="minorHAnsi"/>
              <w:color w:val="000000"/>
              <w:lang w:val="en"/>
            </w:rPr>
            <w:t>a</w:t>
          </w:r>
          <w:r w:rsidRPr="00AB17B7">
            <w:rPr>
              <w:rFonts w:eastAsia="Times New Roman" w:cstheme="minorHAnsi"/>
              <w:color w:val="000000"/>
              <w:lang w:val="en"/>
            </w:rPr>
            <w:t>pprovals</w:t>
          </w:r>
          <w:r>
            <w:rPr>
              <w:rFonts w:eastAsia="Times New Roman" w:cstheme="minorHAnsi"/>
              <w:color w:val="000000"/>
              <w:lang w:val="en"/>
            </w:rPr>
            <w:t xml:space="preserve">, </w:t>
          </w:r>
          <w:r w:rsidRPr="00AB17B7">
            <w:rPr>
              <w:rFonts w:eastAsia="Times New Roman" w:cstheme="minorHAnsi"/>
              <w:color w:val="000000"/>
              <w:lang w:val="en"/>
            </w:rPr>
            <w:t xml:space="preserve">and </w:t>
          </w:r>
        </w:p>
        <w:p w:rsidR="00BE10D3" w:rsidRDefault="00BE10D3" w:rsidP="00BE10D3">
          <w:pPr>
            <w:pStyle w:val="ListParagraph"/>
            <w:numPr>
              <w:ilvl w:val="0"/>
              <w:numId w:val="1"/>
            </w:numPr>
            <w:shd w:val="clear" w:color="auto" w:fill="FFFFFF"/>
            <w:spacing w:before="120" w:after="120" w:line="336" w:lineRule="atLeast"/>
            <w:ind w:left="709" w:hanging="425"/>
            <w:jc w:val="both"/>
            <w:rPr>
              <w:rFonts w:eastAsia="Times New Roman" w:cstheme="minorHAnsi"/>
              <w:color w:val="000000"/>
              <w:lang w:val="en"/>
            </w:rPr>
          </w:pPr>
          <w:r w:rsidRPr="00AB17B7">
            <w:rPr>
              <w:rFonts w:eastAsia="Times New Roman" w:cstheme="minorHAnsi"/>
              <w:color w:val="000000"/>
              <w:lang w:val="en"/>
            </w:rPr>
            <w:t xml:space="preserve">Birth </w:t>
          </w:r>
          <w:r w:rsidR="00631507">
            <w:rPr>
              <w:rFonts w:eastAsia="Times New Roman" w:cstheme="minorHAnsi"/>
              <w:color w:val="000000"/>
              <w:lang w:val="en"/>
            </w:rPr>
            <w:t>n</w:t>
          </w:r>
          <w:r>
            <w:rPr>
              <w:rFonts w:eastAsia="Times New Roman" w:cstheme="minorHAnsi"/>
              <w:color w:val="000000"/>
              <w:lang w:val="en"/>
            </w:rPr>
            <w:t>otic</w:t>
          </w:r>
          <w:r w:rsidRPr="00AB17B7">
            <w:rPr>
              <w:rFonts w:eastAsia="Times New Roman" w:cstheme="minorHAnsi"/>
              <w:color w:val="000000"/>
              <w:lang w:val="en"/>
            </w:rPr>
            <w:t>e</w:t>
          </w:r>
          <w:r>
            <w:rPr>
              <w:rFonts w:eastAsia="Times New Roman" w:cstheme="minorHAnsi"/>
              <w:color w:val="000000"/>
              <w:lang w:val="en"/>
            </w:rPr>
            <w:t>s</w:t>
          </w:r>
          <w:r w:rsidRPr="00AB17B7">
            <w:rPr>
              <w:rFonts w:eastAsia="Times New Roman" w:cstheme="minorHAnsi"/>
              <w:color w:val="000000"/>
              <w:lang w:val="en"/>
            </w:rPr>
            <w:t xml:space="preserve"> </w:t>
          </w:r>
        </w:p>
        <w:p w:rsidR="00BE10D3" w:rsidRDefault="00BE10D3" w:rsidP="00BE10D3">
          <w:pPr>
            <w:pStyle w:val="ListParagraph"/>
            <w:shd w:val="clear" w:color="auto" w:fill="FFFFFF"/>
            <w:spacing w:after="150" w:line="336" w:lineRule="atLeast"/>
            <w:ind w:left="709"/>
            <w:jc w:val="both"/>
            <w:rPr>
              <w:rFonts w:eastAsia="Times New Roman" w:cstheme="minorHAnsi"/>
              <w:color w:val="000000"/>
              <w:lang w:val="en"/>
            </w:rPr>
          </w:pPr>
        </w:p>
        <w:p w:rsidR="00BE10D3" w:rsidRDefault="005F03EC" w:rsidP="00BE10D3">
          <w:pPr>
            <w:shd w:val="clear" w:color="auto" w:fill="FFFFFF"/>
            <w:spacing w:after="150" w:line="336" w:lineRule="atLeast"/>
            <w:ind w:left="-142"/>
            <w:jc w:val="both"/>
            <w:rPr>
              <w:rFonts w:eastAsia="Times New Roman" w:cstheme="minorHAnsi"/>
              <w:color w:val="000000"/>
              <w:lang w:val="en"/>
            </w:rPr>
          </w:pPr>
          <w:r>
            <w:rPr>
              <w:noProof/>
              <w:lang w:eastAsia="en-AU"/>
            </w:rPr>
            <w:drawing>
              <wp:inline distT="0" distB="0" distL="0" distR="0" wp14:anchorId="261C26B4" wp14:editId="21058176">
                <wp:extent cx="6076950" cy="3581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311A" w:rsidRDefault="00BE10D3" w:rsidP="00BE10D3">
          <w:pPr>
            <w:rPr>
              <w:rFonts w:eastAsia="Times New Roman" w:cstheme="minorHAnsi"/>
              <w:color w:val="000000"/>
              <w:lang w:val="en"/>
            </w:rPr>
          </w:pPr>
          <w:r>
            <w:rPr>
              <w:rFonts w:eastAsia="Times New Roman" w:cstheme="minorHAnsi"/>
              <w:color w:val="000000"/>
              <w:lang w:val="en"/>
            </w:rPr>
            <w:br w:type="page"/>
          </w:r>
        </w:p>
        <w:tbl>
          <w:tblPr>
            <w:tblW w:w="9781" w:type="dxa"/>
            <w:tblInd w:w="108" w:type="dxa"/>
            <w:tblCellMar>
              <w:left w:w="0" w:type="dxa"/>
              <w:right w:w="0" w:type="dxa"/>
            </w:tblCellMar>
            <w:tblLook w:val="04A0" w:firstRow="1" w:lastRow="0" w:firstColumn="1" w:lastColumn="0" w:noHBand="0" w:noVBand="1"/>
          </w:tblPr>
          <w:tblGrid>
            <w:gridCol w:w="2410"/>
            <w:gridCol w:w="2410"/>
            <w:gridCol w:w="2551"/>
            <w:gridCol w:w="2410"/>
          </w:tblGrid>
          <w:tr w:rsidR="00BE10D3" w:rsidTr="00D515BA">
            <w:trPr>
              <w:trHeight w:val="99"/>
            </w:trPr>
            <w:tc>
              <w:tcPr>
                <w:tcW w:w="9781"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Pr="003F197E" w:rsidRDefault="00BE10D3" w:rsidP="00D515BA">
                <w:pPr>
                  <w:spacing w:before="120" w:after="120" w:line="240" w:lineRule="auto"/>
                  <w:jc w:val="center"/>
                  <w:rPr>
                    <w:b/>
                    <w:color w:val="000000"/>
                    <w:sz w:val="28"/>
                    <w:szCs w:val="28"/>
                  </w:rPr>
                </w:pPr>
                <w:r w:rsidRPr="003F197E">
                  <w:rPr>
                    <w:b/>
                    <w:color w:val="000000"/>
                    <w:sz w:val="28"/>
                    <w:szCs w:val="28"/>
                  </w:rPr>
                  <w:lastRenderedPageBreak/>
                  <w:t xml:space="preserve">QUARTERLY GROWTH INDICATORS </w:t>
                </w:r>
              </w:p>
              <w:p w:rsidR="00BE10D3" w:rsidRPr="007839A8" w:rsidRDefault="00BE10D3" w:rsidP="005F03EC">
                <w:pPr>
                  <w:spacing w:before="120" w:after="120" w:line="240" w:lineRule="auto"/>
                  <w:jc w:val="center"/>
                  <w:rPr>
                    <w:rFonts w:ascii="Calibri" w:hAnsi="Calibri" w:cs="Calibri"/>
                    <w:b/>
                    <w:color w:val="000000"/>
                  </w:rPr>
                </w:pPr>
                <w:r>
                  <w:rPr>
                    <w:b/>
                    <w:color w:val="000000"/>
                    <w:sz w:val="28"/>
                    <w:szCs w:val="28"/>
                  </w:rPr>
                  <w:t>1 July</w:t>
                </w:r>
                <w:r w:rsidRPr="003F197E">
                  <w:rPr>
                    <w:b/>
                    <w:color w:val="000000"/>
                    <w:sz w:val="28"/>
                    <w:szCs w:val="28"/>
                  </w:rPr>
                  <w:t xml:space="preserve"> 2012 – </w:t>
                </w:r>
                <w:r w:rsidR="005F03EC">
                  <w:rPr>
                    <w:b/>
                    <w:color w:val="000000"/>
                    <w:sz w:val="28"/>
                    <w:szCs w:val="28"/>
                  </w:rPr>
                  <w:t>30</w:t>
                </w:r>
                <w:r w:rsidR="00180D1E">
                  <w:rPr>
                    <w:b/>
                    <w:color w:val="000000"/>
                    <w:sz w:val="28"/>
                    <w:szCs w:val="28"/>
                  </w:rPr>
                  <w:t xml:space="preserve"> </w:t>
                </w:r>
                <w:r w:rsidR="005F03EC">
                  <w:rPr>
                    <w:b/>
                    <w:color w:val="000000"/>
                    <w:sz w:val="28"/>
                    <w:szCs w:val="28"/>
                  </w:rPr>
                  <w:t>June</w:t>
                </w:r>
                <w:r>
                  <w:rPr>
                    <w:b/>
                    <w:color w:val="000000"/>
                    <w:sz w:val="28"/>
                    <w:szCs w:val="28"/>
                  </w:rPr>
                  <w:t xml:space="preserve"> 201</w:t>
                </w:r>
                <w:r w:rsidR="00180D1E">
                  <w:rPr>
                    <w:b/>
                    <w:color w:val="000000"/>
                    <w:sz w:val="28"/>
                    <w:szCs w:val="28"/>
                  </w:rPr>
                  <w:t>7</w:t>
                </w:r>
              </w:p>
            </w:tc>
          </w:tr>
          <w:tr w:rsidR="00BE10D3" w:rsidTr="00D515BA">
            <w:trPr>
              <w:trHeight w:val="277"/>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E10D3" w:rsidRDefault="00BE10D3" w:rsidP="00D515BA">
                <w:pPr>
                  <w:spacing w:line="240" w:lineRule="auto"/>
                  <w:jc w:val="center"/>
                  <w:rPr>
                    <w:rFonts w:ascii="Calibri" w:hAnsi="Calibri" w:cs="Calibri"/>
                    <w:color w:val="00000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E10D3" w:rsidRPr="00E667FA" w:rsidRDefault="00BE10D3" w:rsidP="00D515BA">
                <w:pPr>
                  <w:spacing w:line="240" w:lineRule="auto"/>
                  <w:jc w:val="center"/>
                  <w:rPr>
                    <w:rFonts w:ascii="Calibri" w:hAnsi="Calibri" w:cs="Calibri"/>
                    <w:b/>
                    <w:bCs/>
                  </w:rPr>
                </w:pPr>
                <w:r w:rsidRPr="00E667FA">
                  <w:rPr>
                    <w:b/>
                    <w:bCs/>
                  </w:rPr>
                  <w:t>New Requests for a Garbage Service</w:t>
                </w:r>
                <w:r w:rsidRPr="00E667FA">
                  <w:rPr>
                    <w:rStyle w:val="FootnoteReference"/>
                    <w:b/>
                    <w:bCs/>
                  </w:rPr>
                  <w:footnoteReference w:id="3"/>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E10D3" w:rsidRPr="00E667FA" w:rsidRDefault="00BE10D3" w:rsidP="00D515BA">
                <w:pPr>
                  <w:spacing w:line="240" w:lineRule="auto"/>
                  <w:jc w:val="center"/>
                  <w:rPr>
                    <w:rFonts w:ascii="Calibri" w:hAnsi="Calibri" w:cs="Calibri"/>
                    <w:b/>
                    <w:bCs/>
                  </w:rPr>
                </w:pPr>
                <w:r w:rsidRPr="00E667FA">
                  <w:rPr>
                    <w:b/>
                    <w:bCs/>
                  </w:rPr>
                  <w:t>Building Approvals for New Dwellings</w:t>
                </w:r>
                <w:r w:rsidRPr="00E667FA">
                  <w:rPr>
                    <w:rStyle w:val="FootnoteReference"/>
                    <w:b/>
                    <w:bCs/>
                  </w:rPr>
                  <w:footnoteReference w:id="4"/>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rsidR="00BE10D3" w:rsidRPr="00E667FA" w:rsidRDefault="00BE10D3" w:rsidP="00D515BA">
                <w:pPr>
                  <w:spacing w:line="240" w:lineRule="auto"/>
                  <w:jc w:val="center"/>
                  <w:rPr>
                    <w:rFonts w:ascii="Calibri" w:hAnsi="Calibri" w:cs="Calibri"/>
                    <w:b/>
                    <w:bCs/>
                    <w:color w:val="000000"/>
                  </w:rPr>
                </w:pPr>
                <w:r w:rsidRPr="00E667FA">
                  <w:rPr>
                    <w:b/>
                    <w:bCs/>
                    <w:color w:val="000000"/>
                  </w:rPr>
                  <w:t>Birth Notices</w:t>
                </w:r>
                <w:r w:rsidRPr="00E667FA">
                  <w:rPr>
                    <w:rStyle w:val="FootnoteReference"/>
                    <w:b/>
                    <w:bCs/>
                    <w:color w:val="000000"/>
                  </w:rPr>
                  <w:footnoteReference w:id="5"/>
                </w:r>
              </w:p>
            </w:tc>
          </w:tr>
          <w:tr w:rsidR="00BE10D3" w:rsidTr="00D515BA">
            <w:trPr>
              <w:trHeight w:val="285"/>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rPr>
                    <w:rFonts w:ascii="Calibri" w:hAnsi="Calibri" w:cs="Calibri"/>
                    <w:b/>
                    <w:bCs/>
                    <w:color w:val="000000"/>
                  </w:rPr>
                </w:pPr>
                <w:r>
                  <w:rPr>
                    <w:b/>
                    <w:bCs/>
                    <w:color w:val="000000"/>
                  </w:rPr>
                  <w:t>31-Jun-12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790</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527</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932</w:t>
                </w:r>
              </w:p>
            </w:tc>
          </w:tr>
          <w:tr w:rsidR="00BE10D3" w:rsidTr="00D515BA">
            <w:trPr>
              <w:trHeight w:val="99"/>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rPr>
                    <w:rFonts w:ascii="Calibri" w:hAnsi="Calibri" w:cs="Calibri"/>
                    <w:b/>
                    <w:bCs/>
                    <w:color w:val="000000"/>
                  </w:rPr>
                </w:pPr>
                <w:r>
                  <w:rPr>
                    <w:b/>
                    <w:bCs/>
                    <w:color w:val="000000"/>
                  </w:rPr>
                  <w:t>31-Sep-12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1845</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693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839</w:t>
                </w:r>
              </w:p>
            </w:tc>
          </w:tr>
          <w:tr w:rsidR="00BE10D3" w:rsidTr="00D515BA">
            <w:trPr>
              <w:trHeight w:val="99"/>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rPr>
                    <w:rFonts w:ascii="Calibri" w:hAnsi="Calibri" w:cs="Calibri"/>
                    <w:b/>
                    <w:bCs/>
                    <w:color w:val="000000"/>
                  </w:rPr>
                </w:pPr>
                <w:r>
                  <w:rPr>
                    <w:b/>
                    <w:bCs/>
                    <w:color w:val="000000"/>
                  </w:rPr>
                  <w:t>31-Dec-12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1082*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rPr>
                </w:pPr>
                <w:r>
                  <w:t>605</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rPr>
                </w:pPr>
                <w:r>
                  <w:t>1083</w:t>
                </w:r>
              </w:p>
            </w:tc>
          </w:tr>
          <w:tr w:rsidR="00BE10D3" w:rsidTr="00D515BA">
            <w:trPr>
              <w:trHeight w:val="99"/>
            </w:trPr>
            <w:tc>
              <w:tcPr>
                <w:tcW w:w="241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rPr>
                    <w:rFonts w:ascii="Calibri" w:hAnsi="Calibri" w:cs="Calibri"/>
                    <w:b/>
                    <w:bCs/>
                    <w:color w:val="000000"/>
                  </w:rPr>
                </w:pPr>
                <w:r>
                  <w:rPr>
                    <w:b/>
                    <w:bCs/>
                    <w:color w:val="000000"/>
                  </w:rPr>
                  <w:t>31-Mar-13</w:t>
                </w:r>
              </w:p>
            </w:tc>
            <w:tc>
              <w:tcPr>
                <w:tcW w:w="241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520</w:t>
                </w:r>
              </w:p>
            </w:tc>
            <w:tc>
              <w:tcPr>
                <w:tcW w:w="255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rPr>
                </w:pPr>
                <w:r>
                  <w:t>329</w:t>
                </w:r>
              </w:p>
            </w:tc>
            <w:tc>
              <w:tcPr>
                <w:tcW w:w="241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rPr>
                </w:pPr>
                <w:r>
                  <w:t>927</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30-Jun-13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631</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563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988</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31-Sep-13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405</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521</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1041</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31-Dec-13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876</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663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1059</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31-Mar-14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538</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569</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1020</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30-Jun-14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356</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720</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939</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31-Sep-14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601</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924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1060</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31-Dec-14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1083</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812</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1101</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31-Mar-15</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526</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661</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1029</w:t>
                </w:r>
              </w:p>
            </w:tc>
          </w:tr>
          <w:tr w:rsidR="00BE10D3" w:rsidTr="00D515BA">
            <w:trPr>
              <w:trHeight w:val="392"/>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31-Jun-15</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sidRPr="00880EB8">
                  <w:t>714</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693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1023</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31-Sep-15</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Pr="00880EB8" w:rsidRDefault="00BE10D3" w:rsidP="00D515BA">
                <w:pPr>
                  <w:spacing w:line="240" w:lineRule="auto"/>
                  <w:jc w:val="center"/>
                </w:pPr>
                <w:r>
                  <w:t>596</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1058</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1109</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sidRPr="00D637F7">
                  <w:rPr>
                    <w:b/>
                    <w:bCs/>
                  </w:rPr>
                  <w:t>31-Dec-15</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799</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956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1113**</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Pr="00D637F7" w:rsidRDefault="00BE10D3" w:rsidP="00D515BA">
                <w:pPr>
                  <w:spacing w:line="240" w:lineRule="auto"/>
                  <w:rPr>
                    <w:b/>
                    <w:bCs/>
                  </w:rPr>
                </w:pPr>
                <w:r>
                  <w:rPr>
                    <w:b/>
                    <w:bCs/>
                  </w:rPr>
                  <w:t>31-Mar-16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537</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970</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1149</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rPr>
                </w:pPr>
                <w:r>
                  <w:rPr>
                    <w:b/>
                    <w:bCs/>
                  </w:rPr>
                  <w:t>30-Jun-16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1335</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919</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1062</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rPr>
                </w:pPr>
                <w:r>
                  <w:rPr>
                    <w:b/>
                    <w:bCs/>
                  </w:rPr>
                  <w:t>30-Sep-16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820</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1221</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1194</w:t>
                </w:r>
              </w:p>
            </w:tc>
          </w:tr>
          <w:tr w:rsidR="00BE10D3" w:rsidTr="00631507">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rPr>
                </w:pPr>
                <w:r>
                  <w:rPr>
                    <w:b/>
                    <w:bCs/>
                  </w:rPr>
                  <w:t>31-Dec-16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1644</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847</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1113</w:t>
                </w:r>
              </w:p>
            </w:tc>
          </w:tr>
          <w:tr w:rsidR="00631507" w:rsidTr="005F03EC">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631507" w:rsidRDefault="00631507" w:rsidP="00D515BA">
                <w:pPr>
                  <w:spacing w:line="240" w:lineRule="auto"/>
                  <w:rPr>
                    <w:b/>
                    <w:bCs/>
                  </w:rPr>
                </w:pPr>
                <w:r>
                  <w:rPr>
                    <w:b/>
                    <w:bCs/>
                  </w:rPr>
                  <w:t>31-Mar-17</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631507" w:rsidRDefault="00457EFD" w:rsidP="00D515BA">
                <w:pPr>
                  <w:spacing w:line="240" w:lineRule="auto"/>
                  <w:jc w:val="center"/>
                </w:pPr>
                <w:r w:rsidRPr="00457EFD">
                  <w:t>1263</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631507" w:rsidRDefault="00180D1E" w:rsidP="00D515BA">
                <w:pPr>
                  <w:spacing w:line="240" w:lineRule="auto"/>
                  <w:jc w:val="center"/>
                </w:pPr>
                <w:r>
                  <w:t>832</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631507" w:rsidRDefault="00965F97" w:rsidP="00D515BA">
                <w:pPr>
                  <w:spacing w:line="240" w:lineRule="auto"/>
                  <w:jc w:val="center"/>
                </w:pPr>
                <w:r>
                  <w:t>1216</w:t>
                </w:r>
              </w:p>
            </w:tc>
          </w:tr>
          <w:tr w:rsidR="005F03EC" w:rsidTr="00D515BA">
            <w:trPr>
              <w:trHeight w:val="99"/>
            </w:trPr>
            <w:tc>
              <w:tcPr>
                <w:tcW w:w="241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5F03EC" w:rsidRDefault="005F03EC" w:rsidP="00D515BA">
                <w:pPr>
                  <w:spacing w:line="240" w:lineRule="auto"/>
                  <w:rPr>
                    <w:b/>
                    <w:bCs/>
                  </w:rPr>
                </w:pPr>
                <w:r>
                  <w:rPr>
                    <w:b/>
                    <w:bCs/>
                  </w:rPr>
                  <w:t>30-Jun-17</w:t>
                </w:r>
              </w:p>
            </w:tc>
            <w:tc>
              <w:tcPr>
                <w:tcW w:w="241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5F03EC" w:rsidRPr="00457EFD" w:rsidRDefault="005F03EC" w:rsidP="00D515BA">
                <w:pPr>
                  <w:spacing w:line="240" w:lineRule="auto"/>
                  <w:jc w:val="center"/>
                </w:pPr>
                <w:r>
                  <w:t>1040</w:t>
                </w:r>
                <w:r w:rsidR="002A4CA2">
                  <w:t>***</w:t>
                </w:r>
              </w:p>
            </w:tc>
            <w:tc>
              <w:tcPr>
                <w:tcW w:w="255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5F03EC" w:rsidRDefault="005F03EC" w:rsidP="00D515BA">
                <w:pPr>
                  <w:spacing w:line="240" w:lineRule="auto"/>
                  <w:jc w:val="center"/>
                </w:pPr>
                <w:r>
                  <w:t>1105</w:t>
                </w:r>
              </w:p>
            </w:tc>
            <w:tc>
              <w:tcPr>
                <w:tcW w:w="241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5F03EC" w:rsidRDefault="005F03EC" w:rsidP="00D515BA">
                <w:pPr>
                  <w:spacing w:line="240" w:lineRule="auto"/>
                  <w:jc w:val="center"/>
                </w:pPr>
                <w:r>
                  <w:t>950</w:t>
                </w:r>
              </w:p>
            </w:tc>
          </w:tr>
        </w:tbl>
        <w:p w:rsidR="00BE10D3" w:rsidRPr="005A7DD7" w:rsidRDefault="00BE10D3" w:rsidP="00BE10D3">
          <w:pPr>
            <w:jc w:val="both"/>
            <w:rPr>
              <w:rFonts w:eastAsia="Times New Roman" w:cstheme="minorHAnsi"/>
              <w:sz w:val="16"/>
              <w:lang w:val="en"/>
            </w:rPr>
          </w:pPr>
        </w:p>
        <w:p w:rsidR="00BE10D3" w:rsidRDefault="00BE10D3" w:rsidP="00BE10D3">
          <w:pPr>
            <w:jc w:val="both"/>
            <w:rPr>
              <w:rFonts w:eastAsia="Times New Roman" w:cstheme="minorHAnsi"/>
              <w:lang w:val="en"/>
            </w:rPr>
          </w:pPr>
          <w:r>
            <w:rPr>
              <w:rFonts w:eastAsia="Times New Roman" w:cstheme="minorHAnsi"/>
              <w:lang w:val="en"/>
            </w:rPr>
            <w:lastRenderedPageBreak/>
            <w:t xml:space="preserve">In the </w:t>
          </w:r>
          <w:r w:rsidR="005F03EC">
            <w:rPr>
              <w:rFonts w:eastAsia="Times New Roman" w:cstheme="minorHAnsi"/>
              <w:lang w:val="en"/>
            </w:rPr>
            <w:t xml:space="preserve">April </w:t>
          </w:r>
          <w:r>
            <w:rPr>
              <w:rFonts w:eastAsia="Times New Roman" w:cstheme="minorHAnsi"/>
              <w:lang w:val="en"/>
            </w:rPr>
            <w:t xml:space="preserve">to </w:t>
          </w:r>
          <w:r w:rsidR="005F03EC">
            <w:rPr>
              <w:rFonts w:eastAsia="Times New Roman" w:cstheme="minorHAnsi"/>
              <w:lang w:val="en"/>
            </w:rPr>
            <w:t xml:space="preserve">June </w:t>
          </w:r>
          <w:r>
            <w:rPr>
              <w:rFonts w:eastAsia="Times New Roman" w:cstheme="minorHAnsi"/>
              <w:lang w:val="en"/>
            </w:rPr>
            <w:t>201</w:t>
          </w:r>
          <w:r w:rsidR="00965F97">
            <w:rPr>
              <w:rFonts w:eastAsia="Times New Roman" w:cstheme="minorHAnsi"/>
              <w:lang w:val="en"/>
            </w:rPr>
            <w:t>7</w:t>
          </w:r>
          <w:r>
            <w:rPr>
              <w:rFonts w:eastAsia="Times New Roman" w:cstheme="minorHAnsi"/>
              <w:lang w:val="en"/>
            </w:rPr>
            <w:t xml:space="preserve"> quarter, birth notices </w:t>
          </w:r>
          <w:r w:rsidR="005F03EC">
            <w:rPr>
              <w:rFonts w:eastAsia="Times New Roman" w:cstheme="minorHAnsi"/>
              <w:lang w:val="en"/>
            </w:rPr>
            <w:t xml:space="preserve">dropped </w:t>
          </w:r>
          <w:r w:rsidR="005E23FC">
            <w:rPr>
              <w:rFonts w:eastAsia="Times New Roman" w:cstheme="minorHAnsi"/>
              <w:lang w:val="en"/>
            </w:rPr>
            <w:t xml:space="preserve">by 22% to 950 births </w:t>
          </w:r>
          <w:r w:rsidR="005F03EC">
            <w:rPr>
              <w:rFonts w:eastAsia="Times New Roman" w:cstheme="minorHAnsi"/>
              <w:lang w:val="en"/>
            </w:rPr>
            <w:t xml:space="preserve">from the previous quarter’s </w:t>
          </w:r>
          <w:r>
            <w:rPr>
              <w:rFonts w:eastAsia="Times New Roman" w:cstheme="minorHAnsi"/>
              <w:lang w:val="en"/>
            </w:rPr>
            <w:t xml:space="preserve">historically high </w:t>
          </w:r>
          <w:r w:rsidR="005E23FC">
            <w:rPr>
              <w:rFonts w:eastAsia="Times New Roman" w:cstheme="minorHAnsi"/>
              <w:lang w:val="en"/>
            </w:rPr>
            <w:t>level of 1216.</w:t>
          </w:r>
          <w:r>
            <w:rPr>
              <w:rFonts w:eastAsia="Times New Roman" w:cstheme="minorHAnsi"/>
              <w:lang w:val="en"/>
            </w:rPr>
            <w:t xml:space="preserve"> </w:t>
          </w:r>
          <w:r w:rsidR="005E23FC">
            <w:rPr>
              <w:rFonts w:eastAsia="Times New Roman" w:cstheme="minorHAnsi"/>
              <w:lang w:val="en"/>
            </w:rPr>
            <w:t>On average, over the whole quarter more than 10 babies were</w:t>
          </w:r>
          <w:r w:rsidR="004136FF">
            <w:rPr>
              <w:rFonts w:eastAsia="Times New Roman" w:cstheme="minorHAnsi"/>
              <w:lang w:val="en"/>
            </w:rPr>
            <w:t xml:space="preserve"> </w:t>
          </w:r>
          <w:r w:rsidR="00B567F7">
            <w:rPr>
              <w:rFonts w:eastAsia="Times New Roman" w:cstheme="minorHAnsi"/>
              <w:lang w:val="en"/>
            </w:rPr>
            <w:t>born each</w:t>
          </w:r>
          <w:r>
            <w:rPr>
              <w:rFonts w:eastAsia="Times New Roman" w:cstheme="minorHAnsi"/>
              <w:lang w:val="en"/>
            </w:rPr>
            <w:t xml:space="preserve"> day. </w:t>
          </w:r>
        </w:p>
        <w:p w:rsidR="00BE10D3" w:rsidRDefault="00BE10D3" w:rsidP="00BE10D3">
          <w:pPr>
            <w:jc w:val="both"/>
            <w:rPr>
              <w:rFonts w:eastAsia="Times New Roman" w:cstheme="minorHAnsi"/>
              <w:lang w:val="en"/>
            </w:rPr>
          </w:pPr>
          <w:r>
            <w:rPr>
              <w:rFonts w:eastAsia="Times New Roman" w:cstheme="minorHAnsi"/>
              <w:lang w:val="en"/>
            </w:rPr>
            <w:t>Building approvals for new dwellings saw a</w:t>
          </w:r>
          <w:r w:rsidR="004136FF">
            <w:rPr>
              <w:rFonts w:eastAsia="Times New Roman" w:cstheme="minorHAnsi"/>
              <w:lang w:val="en"/>
            </w:rPr>
            <w:t>n</w:t>
          </w:r>
          <w:r>
            <w:rPr>
              <w:rFonts w:eastAsia="Times New Roman" w:cstheme="minorHAnsi"/>
              <w:lang w:val="en"/>
            </w:rPr>
            <w:t xml:space="preserve"> </w:t>
          </w:r>
          <w:r w:rsidR="004136FF">
            <w:rPr>
              <w:rFonts w:eastAsia="Times New Roman" w:cstheme="minorHAnsi"/>
              <w:b/>
              <w:lang w:val="en"/>
            </w:rPr>
            <w:t>in</w:t>
          </w:r>
          <w:r w:rsidRPr="005D55CC">
            <w:rPr>
              <w:rFonts w:eastAsia="Times New Roman" w:cstheme="minorHAnsi"/>
              <w:b/>
              <w:lang w:val="en"/>
            </w:rPr>
            <w:t>crease of</w:t>
          </w:r>
          <w:r>
            <w:rPr>
              <w:rFonts w:eastAsia="Times New Roman" w:cstheme="minorHAnsi"/>
              <w:lang w:val="en"/>
            </w:rPr>
            <w:t xml:space="preserve"> </w:t>
          </w:r>
          <w:r w:rsidR="004136FF" w:rsidRPr="004136FF">
            <w:rPr>
              <w:rFonts w:eastAsia="Times New Roman" w:cstheme="minorHAnsi"/>
              <w:b/>
              <w:lang w:val="en"/>
            </w:rPr>
            <w:t>32.8</w:t>
          </w:r>
          <w:r w:rsidRPr="005D55CC">
            <w:rPr>
              <w:rFonts w:eastAsia="Times New Roman" w:cstheme="minorHAnsi"/>
              <w:b/>
              <w:lang w:val="en"/>
            </w:rPr>
            <w:t>%</w:t>
          </w:r>
          <w:r>
            <w:rPr>
              <w:rFonts w:eastAsia="Times New Roman" w:cstheme="minorHAnsi"/>
              <w:lang w:val="en"/>
            </w:rPr>
            <w:t xml:space="preserve"> in the </w:t>
          </w:r>
          <w:r w:rsidR="004136FF">
            <w:rPr>
              <w:rFonts w:eastAsia="Times New Roman" w:cstheme="minorHAnsi"/>
              <w:lang w:val="en"/>
            </w:rPr>
            <w:t xml:space="preserve">June </w:t>
          </w:r>
          <w:r>
            <w:rPr>
              <w:rFonts w:eastAsia="Times New Roman" w:cstheme="minorHAnsi"/>
              <w:lang w:val="en"/>
            </w:rPr>
            <w:t>201</w:t>
          </w:r>
          <w:r w:rsidR="001F08BA">
            <w:rPr>
              <w:rFonts w:eastAsia="Times New Roman" w:cstheme="minorHAnsi"/>
              <w:lang w:val="en"/>
            </w:rPr>
            <w:t>7</w:t>
          </w:r>
          <w:r>
            <w:rPr>
              <w:rFonts w:eastAsia="Times New Roman" w:cstheme="minorHAnsi"/>
              <w:lang w:val="en"/>
            </w:rPr>
            <w:t xml:space="preserve"> quarter, from </w:t>
          </w:r>
          <w:r w:rsidR="004136FF" w:rsidRPr="004136FF">
            <w:rPr>
              <w:rFonts w:eastAsia="Times New Roman" w:cstheme="minorHAnsi"/>
              <w:b/>
              <w:lang w:val="en"/>
            </w:rPr>
            <w:t xml:space="preserve">832 </w:t>
          </w:r>
          <w:r w:rsidR="004136FF">
            <w:rPr>
              <w:rFonts w:eastAsia="Times New Roman" w:cstheme="minorHAnsi"/>
              <w:b/>
              <w:lang w:val="en"/>
            </w:rPr>
            <w:t>to 1105</w:t>
          </w:r>
          <w:r w:rsidR="004136FF">
            <w:rPr>
              <w:rFonts w:eastAsia="Times New Roman" w:cstheme="minorHAnsi"/>
              <w:lang w:val="en"/>
            </w:rPr>
            <w:t xml:space="preserve"> – the second highest number of new dwellings since the commencement of this document. T</w:t>
          </w:r>
          <w:r>
            <w:rPr>
              <w:rFonts w:eastAsia="Times New Roman" w:cstheme="minorHAnsi"/>
              <w:lang w:val="en"/>
            </w:rPr>
            <w:t xml:space="preserve">he number of new requests for a garbage </w:t>
          </w:r>
          <w:r w:rsidR="00E166A7">
            <w:rPr>
              <w:rFonts w:eastAsia="Times New Roman" w:cstheme="minorHAnsi"/>
              <w:lang w:val="en"/>
            </w:rPr>
            <w:t xml:space="preserve">service </w:t>
          </w:r>
          <w:r w:rsidR="00457EFD">
            <w:rPr>
              <w:rFonts w:eastAsia="Times New Roman" w:cstheme="minorHAnsi"/>
              <w:lang w:val="en"/>
            </w:rPr>
            <w:t>decreased</w:t>
          </w:r>
          <w:r w:rsidRPr="005D55CC">
            <w:rPr>
              <w:rFonts w:eastAsia="Times New Roman" w:cstheme="minorHAnsi"/>
              <w:b/>
              <w:lang w:val="en"/>
            </w:rPr>
            <w:t xml:space="preserve"> from </w:t>
          </w:r>
          <w:r w:rsidR="006F303D">
            <w:rPr>
              <w:rFonts w:eastAsia="Times New Roman" w:cstheme="minorHAnsi"/>
              <w:b/>
              <w:lang w:val="en"/>
            </w:rPr>
            <w:t>1</w:t>
          </w:r>
          <w:r w:rsidR="004136FF">
            <w:rPr>
              <w:rFonts w:eastAsia="Times New Roman" w:cstheme="minorHAnsi"/>
              <w:b/>
              <w:lang w:val="en"/>
            </w:rPr>
            <w:t>263</w:t>
          </w:r>
          <w:r w:rsidRPr="005D55CC">
            <w:rPr>
              <w:rFonts w:eastAsia="Times New Roman" w:cstheme="minorHAnsi"/>
              <w:b/>
              <w:lang w:val="en"/>
            </w:rPr>
            <w:t xml:space="preserve"> to </w:t>
          </w:r>
          <w:r w:rsidR="00457EFD">
            <w:rPr>
              <w:rFonts w:eastAsia="Times New Roman" w:cstheme="minorHAnsi"/>
              <w:b/>
              <w:lang w:val="en"/>
            </w:rPr>
            <w:t>1</w:t>
          </w:r>
          <w:r w:rsidR="004136FF">
            <w:rPr>
              <w:rFonts w:eastAsia="Times New Roman" w:cstheme="minorHAnsi"/>
              <w:b/>
              <w:lang w:val="en"/>
            </w:rPr>
            <w:t>040 (a decreas</w:t>
          </w:r>
          <w:r w:rsidR="004136FF" w:rsidRPr="004136FF">
            <w:rPr>
              <w:rFonts w:eastAsia="Times New Roman" w:cstheme="minorHAnsi"/>
              <w:b/>
              <w:lang w:val="en"/>
            </w:rPr>
            <w:t>e of 17.7%)</w:t>
          </w:r>
          <w:r w:rsidR="006F303D" w:rsidRPr="004136FF">
            <w:rPr>
              <w:rFonts w:eastAsia="Times New Roman" w:cstheme="minorHAnsi"/>
              <w:lang w:val="en"/>
            </w:rPr>
            <w:t>,</w:t>
          </w:r>
          <w:r w:rsidRPr="004136FF">
            <w:rPr>
              <w:rFonts w:eastAsia="Times New Roman" w:cstheme="minorHAnsi"/>
              <w:lang w:val="en"/>
            </w:rPr>
            <w:t xml:space="preserve"> as recorded in the Customer Requests Management system (CRM)</w:t>
          </w:r>
          <w:r w:rsidRPr="004136FF">
            <w:rPr>
              <w:rFonts w:eastAsia="Times New Roman" w:cstheme="minorHAnsi"/>
              <w:sz w:val="18"/>
              <w:lang w:val="en"/>
            </w:rPr>
            <w:t>***</w:t>
          </w:r>
          <w:r w:rsidRPr="004136FF">
            <w:rPr>
              <w:rFonts w:eastAsia="Times New Roman" w:cstheme="minorHAnsi"/>
              <w:lang w:val="en"/>
            </w:rPr>
            <w:t>.</w:t>
          </w:r>
        </w:p>
        <w:p w:rsidR="00BE10D3" w:rsidRDefault="00BE10D3" w:rsidP="00BE10D3">
          <w:pPr>
            <w:jc w:val="both"/>
            <w:rPr>
              <w:rFonts w:eastAsia="Times New Roman" w:cstheme="minorHAnsi"/>
              <w:lang w:val="en"/>
            </w:rPr>
          </w:pPr>
          <w:r>
            <w:rPr>
              <w:rFonts w:eastAsia="Times New Roman" w:cstheme="minorHAnsi"/>
              <w:lang w:val="en"/>
            </w:rPr>
            <w:t xml:space="preserve">Below is the </w:t>
          </w:r>
          <w:r w:rsidRPr="000C6D9F">
            <w:rPr>
              <w:rFonts w:eastAsia="Times New Roman" w:cstheme="minorHAnsi"/>
              <w:b/>
              <w:lang w:val="en"/>
            </w:rPr>
            <w:t>percentage increase from 201</w:t>
          </w:r>
          <w:r>
            <w:rPr>
              <w:rFonts w:eastAsia="Times New Roman" w:cstheme="minorHAnsi"/>
              <w:b/>
              <w:lang w:val="en"/>
            </w:rPr>
            <w:t>5</w:t>
          </w:r>
          <w:r w:rsidRPr="000C6D9F">
            <w:rPr>
              <w:rFonts w:eastAsia="Times New Roman" w:cstheme="minorHAnsi"/>
              <w:b/>
              <w:lang w:val="en"/>
            </w:rPr>
            <w:t xml:space="preserve"> to 2016</w:t>
          </w:r>
          <w:r>
            <w:rPr>
              <w:rFonts w:eastAsia="Times New Roman" w:cstheme="minorHAnsi"/>
              <w:lang w:val="en"/>
            </w:rPr>
            <w:t xml:space="preserve"> of the three growth indicators:</w:t>
          </w:r>
        </w:p>
        <w:tbl>
          <w:tblPr>
            <w:tblW w:w="9639" w:type="dxa"/>
            <w:tblInd w:w="10" w:type="dxa"/>
            <w:tblCellMar>
              <w:left w:w="0" w:type="dxa"/>
              <w:right w:w="0" w:type="dxa"/>
            </w:tblCellMar>
            <w:tblLook w:val="04A0" w:firstRow="1" w:lastRow="0" w:firstColumn="1" w:lastColumn="0" w:noHBand="0" w:noVBand="1"/>
          </w:tblPr>
          <w:tblGrid>
            <w:gridCol w:w="1824"/>
            <w:gridCol w:w="2004"/>
            <w:gridCol w:w="1417"/>
            <w:gridCol w:w="1321"/>
            <w:gridCol w:w="1231"/>
            <w:gridCol w:w="1842"/>
          </w:tblGrid>
          <w:tr w:rsidR="00BE10D3" w:rsidTr="00D515BA">
            <w:trPr>
              <w:trHeight w:val="103"/>
            </w:trPr>
            <w:tc>
              <w:tcPr>
                <w:tcW w:w="1824" w:type="dxa"/>
                <w:tcBorders>
                  <w:top w:val="single" w:sz="8" w:space="0" w:color="auto"/>
                  <w:left w:val="single" w:sz="8" w:space="0" w:color="auto"/>
                  <w:bottom w:val="single" w:sz="8" w:space="0" w:color="auto"/>
                  <w:right w:val="single" w:sz="8" w:space="0" w:color="auto"/>
                </w:tcBorders>
              </w:tcPr>
              <w:p w:rsidR="00BE10D3" w:rsidRPr="00437FB3" w:rsidRDefault="00BE10D3" w:rsidP="00D515BA">
                <w:pPr>
                  <w:spacing w:before="120" w:after="120" w:line="240" w:lineRule="auto"/>
                  <w:jc w:val="center"/>
                  <w:rPr>
                    <w:b/>
                    <w:sz w:val="28"/>
                    <w:szCs w:val="28"/>
                  </w:rPr>
                </w:pPr>
              </w:p>
            </w:tc>
            <w:tc>
              <w:tcPr>
                <w:tcW w:w="7815"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Pr="00437FB3" w:rsidRDefault="00BE10D3" w:rsidP="00D515BA">
                <w:pPr>
                  <w:spacing w:before="120" w:after="120" w:line="240" w:lineRule="auto"/>
                  <w:jc w:val="center"/>
                  <w:rPr>
                    <w:b/>
                    <w:sz w:val="28"/>
                    <w:szCs w:val="28"/>
                  </w:rPr>
                </w:pPr>
                <w:r w:rsidRPr="00437FB3">
                  <w:rPr>
                    <w:b/>
                    <w:sz w:val="28"/>
                    <w:szCs w:val="28"/>
                  </w:rPr>
                  <w:t>QUARTERLY GROWTH INDICATORS 2015-16 % INCREASE</w:t>
                </w:r>
              </w:p>
            </w:tc>
          </w:tr>
          <w:tr w:rsidR="00BE10D3" w:rsidTr="00D515BA">
            <w:trPr>
              <w:trHeight w:val="288"/>
            </w:trPr>
            <w:tc>
              <w:tcPr>
                <w:tcW w:w="382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E10D3" w:rsidRPr="00437FB3" w:rsidRDefault="00BE10D3" w:rsidP="00D515BA">
                <w:pPr>
                  <w:spacing w:line="240" w:lineRule="auto"/>
                  <w:jc w:val="center"/>
                  <w:rPr>
                    <w:rFonts w:ascii="Calibri" w:hAnsi="Calibri" w:cs="Calibri"/>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E10D3" w:rsidRPr="00437FB3" w:rsidRDefault="00BE10D3" w:rsidP="00D515BA">
                <w:pPr>
                  <w:spacing w:line="240" w:lineRule="auto"/>
                  <w:jc w:val="center"/>
                  <w:rPr>
                    <w:rFonts w:ascii="Calibri" w:hAnsi="Calibri" w:cs="Calibri"/>
                    <w:b/>
                    <w:bCs/>
                    <w:sz w:val="24"/>
                  </w:rPr>
                </w:pPr>
                <w:r w:rsidRPr="00437FB3">
                  <w:rPr>
                    <w:rFonts w:ascii="Calibri" w:hAnsi="Calibri" w:cs="Calibri"/>
                    <w:b/>
                    <w:bCs/>
                    <w:sz w:val="24"/>
                  </w:rPr>
                  <w:t>2014</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E10D3" w:rsidRPr="00437FB3" w:rsidRDefault="00BE10D3" w:rsidP="00D515BA">
                <w:pPr>
                  <w:spacing w:line="240" w:lineRule="auto"/>
                  <w:jc w:val="center"/>
                  <w:rPr>
                    <w:rFonts w:ascii="Calibri" w:hAnsi="Calibri" w:cs="Calibri"/>
                    <w:b/>
                    <w:bCs/>
                    <w:sz w:val="24"/>
                  </w:rPr>
                </w:pPr>
                <w:r w:rsidRPr="00437FB3">
                  <w:rPr>
                    <w:rFonts w:ascii="Calibri" w:hAnsi="Calibri" w:cs="Calibri"/>
                    <w:b/>
                    <w:bCs/>
                    <w:sz w:val="24"/>
                  </w:rPr>
                  <w:t>2015</w:t>
                </w:r>
              </w:p>
            </w:tc>
            <w:tc>
              <w:tcPr>
                <w:tcW w:w="1231" w:type="dxa"/>
                <w:tcBorders>
                  <w:top w:val="nil"/>
                  <w:left w:val="nil"/>
                  <w:bottom w:val="single" w:sz="8" w:space="0" w:color="auto"/>
                  <w:right w:val="single" w:sz="4" w:space="0" w:color="auto"/>
                </w:tcBorders>
              </w:tcPr>
              <w:p w:rsidR="00BE10D3" w:rsidRPr="00437FB3" w:rsidRDefault="00BE10D3" w:rsidP="00D515BA">
                <w:pPr>
                  <w:spacing w:line="240" w:lineRule="auto"/>
                  <w:jc w:val="center"/>
                  <w:rPr>
                    <w:rFonts w:ascii="Calibri" w:hAnsi="Calibri" w:cs="Calibri"/>
                    <w:b/>
                    <w:bCs/>
                    <w:sz w:val="24"/>
                  </w:rPr>
                </w:pPr>
                <w:r w:rsidRPr="00437FB3">
                  <w:rPr>
                    <w:rFonts w:ascii="Calibri" w:hAnsi="Calibri" w:cs="Calibri"/>
                    <w:b/>
                    <w:bCs/>
                    <w:sz w:val="24"/>
                  </w:rPr>
                  <w:t>2016</w:t>
                </w:r>
              </w:p>
            </w:tc>
            <w:tc>
              <w:tcPr>
                <w:tcW w:w="1842"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BE10D3" w:rsidRPr="00437FB3" w:rsidRDefault="00BE10D3" w:rsidP="00D515BA">
                <w:pPr>
                  <w:spacing w:line="240" w:lineRule="auto"/>
                  <w:jc w:val="center"/>
                  <w:rPr>
                    <w:rFonts w:ascii="Calibri" w:hAnsi="Calibri" w:cs="Calibri"/>
                    <w:b/>
                    <w:bCs/>
                    <w:sz w:val="24"/>
                  </w:rPr>
                </w:pPr>
                <w:r w:rsidRPr="00437FB3">
                  <w:rPr>
                    <w:rFonts w:ascii="Calibri" w:hAnsi="Calibri" w:cs="Calibri"/>
                    <w:b/>
                    <w:bCs/>
                    <w:sz w:val="24"/>
                  </w:rPr>
                  <w:t>% Increase</w:t>
                </w:r>
              </w:p>
            </w:tc>
          </w:tr>
          <w:tr w:rsidR="00BE10D3" w:rsidTr="00D515BA">
            <w:trPr>
              <w:trHeight w:val="296"/>
            </w:trPr>
            <w:tc>
              <w:tcPr>
                <w:tcW w:w="382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E10D3" w:rsidRPr="00437FB3" w:rsidRDefault="00BE10D3" w:rsidP="00D515BA">
                <w:pPr>
                  <w:spacing w:line="240" w:lineRule="auto"/>
                  <w:rPr>
                    <w:rFonts w:ascii="Calibri" w:hAnsi="Calibri" w:cs="Calibri"/>
                    <w:b/>
                    <w:bCs/>
                  </w:rPr>
                </w:pPr>
                <w:r w:rsidRPr="00437FB3">
                  <w:rPr>
                    <w:b/>
                    <w:bCs/>
                  </w:rPr>
                  <w:t>New Requests for a Garbage Service</w:t>
                </w:r>
                <w:r w:rsidRPr="00437FB3">
                  <w:rPr>
                    <w:rStyle w:val="FootnoteReference"/>
                    <w:b/>
                    <w:bCs/>
                  </w:rPr>
                  <w:footnoteReference w:id="6"/>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2578</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2635</w:t>
                </w:r>
              </w:p>
            </w:tc>
            <w:tc>
              <w:tcPr>
                <w:tcW w:w="1231" w:type="dxa"/>
                <w:tcBorders>
                  <w:top w:val="single" w:sz="8" w:space="0" w:color="auto"/>
                  <w:left w:val="nil"/>
                  <w:bottom w:val="single" w:sz="8" w:space="0" w:color="auto"/>
                  <w:right w:val="single" w:sz="4" w:space="0" w:color="auto"/>
                </w:tcBorders>
              </w:tcPr>
              <w:p w:rsidR="00BE10D3" w:rsidRPr="00437FB3" w:rsidRDefault="00BE10D3" w:rsidP="00D515BA">
                <w:pPr>
                  <w:spacing w:line="240" w:lineRule="auto"/>
                  <w:jc w:val="center"/>
                  <w:rPr>
                    <w:rFonts w:ascii="Calibri" w:hAnsi="Calibri" w:cs="Calibri"/>
                  </w:rPr>
                </w:pPr>
                <w:r w:rsidRPr="00437FB3">
                  <w:rPr>
                    <w:rFonts w:ascii="Calibri" w:hAnsi="Calibri" w:cs="Calibri"/>
                  </w:rPr>
                  <w:t>4336</w:t>
                </w:r>
              </w:p>
            </w:tc>
            <w:tc>
              <w:tcPr>
                <w:tcW w:w="184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64.6%</w:t>
                </w:r>
              </w:p>
            </w:tc>
          </w:tr>
          <w:tr w:rsidR="00BE10D3" w:rsidTr="00D515BA">
            <w:trPr>
              <w:trHeight w:val="103"/>
            </w:trPr>
            <w:tc>
              <w:tcPr>
                <w:tcW w:w="382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rPr>
                    <w:rFonts w:ascii="Calibri" w:hAnsi="Calibri" w:cs="Calibri"/>
                    <w:b/>
                    <w:bCs/>
                  </w:rPr>
                </w:pPr>
                <w:r w:rsidRPr="00437FB3">
                  <w:rPr>
                    <w:b/>
                    <w:bCs/>
                  </w:rPr>
                  <w:t>Building Approvals for New Dwellings</w:t>
                </w:r>
                <w:r w:rsidRPr="00437FB3">
                  <w:rPr>
                    <w:rStyle w:val="FootnoteReference"/>
                    <w:b/>
                    <w:bCs/>
                  </w:rPr>
                  <w:footnoteReference w:id="7"/>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3025</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3368</w:t>
                </w:r>
              </w:p>
            </w:tc>
            <w:tc>
              <w:tcPr>
                <w:tcW w:w="1231" w:type="dxa"/>
                <w:tcBorders>
                  <w:top w:val="single" w:sz="8" w:space="0" w:color="auto"/>
                  <w:left w:val="nil"/>
                  <w:bottom w:val="single" w:sz="8" w:space="0" w:color="auto"/>
                  <w:right w:val="single" w:sz="4" w:space="0" w:color="auto"/>
                </w:tcBorders>
              </w:tcPr>
              <w:p w:rsidR="00BE10D3" w:rsidRPr="00437FB3" w:rsidRDefault="00BE10D3" w:rsidP="00D515BA">
                <w:pPr>
                  <w:spacing w:line="240" w:lineRule="auto"/>
                  <w:jc w:val="center"/>
                  <w:rPr>
                    <w:rFonts w:ascii="Calibri" w:hAnsi="Calibri" w:cs="Calibri"/>
                  </w:rPr>
                </w:pPr>
                <w:r w:rsidRPr="00437FB3">
                  <w:rPr>
                    <w:rFonts w:ascii="Calibri" w:hAnsi="Calibri" w:cs="Calibri"/>
                  </w:rPr>
                  <w:t>3957</w:t>
                </w:r>
              </w:p>
            </w:tc>
            <w:tc>
              <w:tcPr>
                <w:tcW w:w="184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17.5%</w:t>
                </w:r>
              </w:p>
            </w:tc>
          </w:tr>
          <w:tr w:rsidR="00BE10D3" w:rsidTr="00D515BA">
            <w:trPr>
              <w:trHeight w:val="103"/>
            </w:trPr>
            <w:tc>
              <w:tcPr>
                <w:tcW w:w="382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rPr>
                    <w:rFonts w:ascii="Calibri" w:hAnsi="Calibri" w:cs="Calibri"/>
                    <w:b/>
                    <w:bCs/>
                  </w:rPr>
                </w:pPr>
                <w:r w:rsidRPr="00437FB3">
                  <w:rPr>
                    <w:b/>
                    <w:bCs/>
                  </w:rPr>
                  <w:t>Birth Notices</w:t>
                </w:r>
                <w:r w:rsidRPr="00437FB3">
                  <w:rPr>
                    <w:rStyle w:val="FootnoteReference"/>
                    <w:b/>
                    <w:bCs/>
                  </w:rPr>
                  <w:footnoteReference w:id="8"/>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4120</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4274</w:t>
                </w:r>
              </w:p>
            </w:tc>
            <w:tc>
              <w:tcPr>
                <w:tcW w:w="1231" w:type="dxa"/>
                <w:tcBorders>
                  <w:top w:val="single" w:sz="8" w:space="0" w:color="auto"/>
                  <w:left w:val="nil"/>
                  <w:bottom w:val="single" w:sz="8" w:space="0" w:color="auto"/>
                  <w:right w:val="single" w:sz="4" w:space="0" w:color="auto"/>
                </w:tcBorders>
              </w:tcPr>
              <w:p w:rsidR="00BE10D3" w:rsidRPr="00437FB3" w:rsidRDefault="00BE10D3" w:rsidP="00D515BA">
                <w:pPr>
                  <w:spacing w:line="240" w:lineRule="auto"/>
                  <w:jc w:val="center"/>
                  <w:rPr>
                    <w:rFonts w:ascii="Calibri" w:hAnsi="Calibri" w:cs="Calibri"/>
                  </w:rPr>
                </w:pPr>
                <w:r w:rsidRPr="00437FB3">
                  <w:rPr>
                    <w:rFonts w:ascii="Calibri" w:hAnsi="Calibri" w:cs="Calibri"/>
                  </w:rPr>
                  <w:t>4518</w:t>
                </w:r>
              </w:p>
            </w:tc>
            <w:tc>
              <w:tcPr>
                <w:tcW w:w="184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5.7%</w:t>
                </w:r>
              </w:p>
            </w:tc>
          </w:tr>
        </w:tbl>
        <w:p w:rsidR="00BE10D3" w:rsidRDefault="00BE10D3" w:rsidP="00BE10D3">
          <w:pPr>
            <w:jc w:val="both"/>
            <w:rPr>
              <w:rFonts w:eastAsia="Times New Roman" w:cstheme="minorHAnsi"/>
              <w:lang w:val="en"/>
            </w:rPr>
          </w:pPr>
        </w:p>
        <w:p w:rsidR="00BE10D3" w:rsidRDefault="00BE10D3" w:rsidP="00BE10D3">
          <w:pPr>
            <w:jc w:val="both"/>
            <w:rPr>
              <w:rFonts w:eastAsia="Times New Roman" w:cstheme="minorHAnsi"/>
              <w:lang w:val="en"/>
            </w:rPr>
          </w:pPr>
          <w:r>
            <w:rPr>
              <w:rFonts w:eastAsia="Times New Roman" w:cstheme="minorHAnsi"/>
              <w:lang w:val="en"/>
            </w:rPr>
            <w:t xml:space="preserve">There was an increase in all three indicators from 2015 to 2016. The largest increase was seen in new requests for a garbage service (64.6%), which rose from 2,635 requests in 2015 to 4,336 in 2016. Building approvals for new dwellings increased by 17.4%, with a total of 3,957 new dwellings in 2016. The 2016 year recorded the </w:t>
          </w:r>
          <w:r w:rsidRPr="000C6D9F">
            <w:rPr>
              <w:rFonts w:eastAsia="Times New Roman" w:cstheme="minorHAnsi"/>
              <w:lang w:val="en"/>
            </w:rPr>
            <w:t>highest number of births</w:t>
          </w:r>
          <w:r>
            <w:rPr>
              <w:rFonts w:eastAsia="Times New Roman" w:cstheme="minorHAnsi"/>
              <w:lang w:val="en"/>
            </w:rPr>
            <w:t xml:space="preserve"> in Wyndham City with 4,518 births, an increase of 5.7% from the previous year. These figures are reflective of the growth that Wyndham continues to experience</w:t>
          </w:r>
          <w:r>
            <w:rPr>
              <w:rStyle w:val="FootnoteReference"/>
              <w:rFonts w:eastAsia="Times New Roman" w:cstheme="minorHAnsi"/>
              <w:lang w:val="en"/>
            </w:rPr>
            <w:footnoteReference w:id="9"/>
          </w:r>
          <w:r>
            <w:rPr>
              <w:rFonts w:eastAsia="Times New Roman" w:cstheme="minorHAnsi"/>
              <w:lang w:val="en"/>
            </w:rPr>
            <w:t xml:space="preserve">. </w:t>
          </w:r>
        </w:p>
        <w:p w:rsidR="00BE10D3" w:rsidRPr="00D637F7" w:rsidRDefault="00BE10D3" w:rsidP="00BE10D3">
          <w:pPr>
            <w:spacing w:after="0"/>
            <w:rPr>
              <w:rFonts w:eastAsia="Times New Roman" w:cstheme="minorHAnsi"/>
              <w:i/>
              <w:color w:val="000000"/>
              <w:sz w:val="20"/>
              <w:szCs w:val="20"/>
              <w:lang w:val="en"/>
            </w:rPr>
          </w:pPr>
        </w:p>
        <w:p w:rsidR="00BE10D3" w:rsidRPr="00D637F7" w:rsidRDefault="00BE10D3" w:rsidP="00BE10D3">
          <w:pPr>
            <w:spacing w:after="0"/>
            <w:rPr>
              <w:rFonts w:eastAsia="Times New Roman" w:cstheme="minorHAnsi"/>
              <w:i/>
              <w:color w:val="000000"/>
              <w:sz w:val="20"/>
              <w:szCs w:val="20"/>
              <w:lang w:val="en"/>
            </w:rPr>
          </w:pPr>
          <w:r w:rsidRPr="00D637F7">
            <w:rPr>
              <w:rFonts w:eastAsia="Times New Roman" w:cstheme="minorHAnsi"/>
              <w:i/>
              <w:color w:val="000000"/>
              <w:sz w:val="20"/>
              <w:szCs w:val="20"/>
              <w:lang w:val="en"/>
            </w:rPr>
            <w:t>Note:</w:t>
          </w:r>
        </w:p>
        <w:p w:rsidR="00BE10D3" w:rsidRPr="00D637F7" w:rsidRDefault="00BE10D3" w:rsidP="00BE10D3">
          <w:pPr>
            <w:shd w:val="clear" w:color="auto" w:fill="FFFFFF"/>
            <w:spacing w:after="0" w:line="240" w:lineRule="auto"/>
            <w:rPr>
              <w:rFonts w:eastAsia="Times New Roman" w:cstheme="minorHAnsi"/>
              <w:i/>
              <w:color w:val="000000"/>
              <w:sz w:val="20"/>
              <w:szCs w:val="20"/>
              <w:lang w:val="en"/>
            </w:rPr>
          </w:pPr>
          <w:r w:rsidRPr="00D637F7">
            <w:rPr>
              <w:rFonts w:eastAsia="Times New Roman" w:cstheme="minorHAnsi"/>
              <w:i/>
              <w:color w:val="000000"/>
              <w:sz w:val="20"/>
              <w:szCs w:val="20"/>
              <w:lang w:val="en"/>
            </w:rPr>
            <w:t xml:space="preserve">* During the August to October periods reports were not running accurately, therefore 01/10/2012 to 31/12/2012 figures are inflated. October to December quarter includes a significant number of requests from the previous quarter. They reflect the delay and timing of new requests which occur when Council processes rate reviews. </w:t>
          </w:r>
        </w:p>
        <w:p w:rsidR="00BE10D3" w:rsidRPr="00D637F7" w:rsidRDefault="00BE10D3" w:rsidP="00BE10D3">
          <w:pPr>
            <w:shd w:val="clear" w:color="auto" w:fill="FFFFFF"/>
            <w:spacing w:after="0" w:line="240" w:lineRule="auto"/>
            <w:rPr>
              <w:rFonts w:eastAsia="Times New Roman" w:cstheme="minorHAnsi"/>
              <w:i/>
              <w:color w:val="000000"/>
              <w:sz w:val="20"/>
              <w:szCs w:val="20"/>
              <w:lang w:val="en"/>
            </w:rPr>
          </w:pPr>
        </w:p>
        <w:p w:rsidR="00BE10D3" w:rsidRPr="00D637F7" w:rsidRDefault="00BE10D3" w:rsidP="00BE10D3">
          <w:pPr>
            <w:shd w:val="clear" w:color="auto" w:fill="FFFFFF"/>
            <w:spacing w:after="0" w:line="240" w:lineRule="auto"/>
            <w:rPr>
              <w:rFonts w:eastAsia="Times New Roman" w:cstheme="minorHAnsi"/>
              <w:i/>
              <w:color w:val="000000"/>
              <w:sz w:val="20"/>
              <w:szCs w:val="20"/>
              <w:lang w:val="en"/>
            </w:rPr>
          </w:pPr>
          <w:r w:rsidRPr="00D637F7">
            <w:rPr>
              <w:rFonts w:eastAsia="Times New Roman" w:cstheme="minorHAnsi"/>
              <w:i/>
              <w:color w:val="000000"/>
              <w:sz w:val="20"/>
              <w:szCs w:val="20"/>
              <w:lang w:val="en"/>
            </w:rPr>
            <w:t>**November and December 2015 Birth figures have been calculated manually due to a new software system being piloted. Once this new system goes live, these will reviewed to ensure the figures are accurate.</w:t>
          </w:r>
        </w:p>
        <w:p w:rsidR="00BE10D3" w:rsidRPr="00D637F7" w:rsidRDefault="00BE10D3" w:rsidP="00BE10D3">
          <w:pPr>
            <w:shd w:val="clear" w:color="auto" w:fill="FFFFFF"/>
            <w:spacing w:after="0" w:line="336" w:lineRule="atLeast"/>
            <w:rPr>
              <w:rFonts w:eastAsia="Times New Roman" w:cstheme="minorHAnsi"/>
              <w:i/>
              <w:color w:val="000000"/>
              <w:sz w:val="20"/>
              <w:szCs w:val="20"/>
              <w:lang w:val="en"/>
            </w:rPr>
          </w:pPr>
        </w:p>
        <w:p w:rsidR="00BE10D3" w:rsidRDefault="00BE10D3" w:rsidP="004136FF">
          <w:pPr>
            <w:spacing w:line="240" w:lineRule="auto"/>
            <w:jc w:val="both"/>
          </w:pPr>
          <w:r>
            <w:rPr>
              <w:i/>
              <w:sz w:val="20"/>
              <w:szCs w:val="21"/>
            </w:rPr>
            <w:t>*** April to June new garbage requests have had a query change to allow for monthly breakdowns. The table now uses the actual request entries from the CRM system whereby the total has increased. Essentially, this means that the requests have come through the Waste department but have not all been put onto properties at this stage. This will be the new method for new garbage requests from here forward.</w:t>
          </w:r>
        </w:p>
      </w:sdtContent>
    </w:sdt>
    <w:p w:rsidR="00A340DD" w:rsidRDefault="00A7780C"/>
    <w:sectPr w:rsidR="00A340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B1" w:rsidRDefault="00E53DB1" w:rsidP="00BE10D3">
      <w:pPr>
        <w:spacing w:after="0" w:line="240" w:lineRule="auto"/>
      </w:pPr>
      <w:r>
        <w:separator/>
      </w:r>
    </w:p>
  </w:endnote>
  <w:endnote w:type="continuationSeparator" w:id="0">
    <w:p w:rsidR="00E53DB1" w:rsidRDefault="00E53DB1" w:rsidP="00BE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Regular">
    <w:altName w:val="Calibri"/>
    <w:panose1 w:val="02010504060101020104"/>
    <w:charset w:val="00"/>
    <w:family w:val="auto"/>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altName w:val="Calibri"/>
    <w:panose1 w:val="02010604060101020104"/>
    <w:charset w:val="00"/>
    <w:family w:val="auto"/>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B1" w:rsidRDefault="00E53DB1" w:rsidP="00BE10D3">
      <w:pPr>
        <w:spacing w:after="0" w:line="240" w:lineRule="auto"/>
      </w:pPr>
      <w:r>
        <w:separator/>
      </w:r>
    </w:p>
  </w:footnote>
  <w:footnote w:type="continuationSeparator" w:id="0">
    <w:p w:rsidR="00E53DB1" w:rsidRDefault="00E53DB1" w:rsidP="00BE10D3">
      <w:pPr>
        <w:spacing w:after="0" w:line="240" w:lineRule="auto"/>
      </w:pPr>
      <w:r>
        <w:continuationSeparator/>
      </w:r>
    </w:p>
  </w:footnote>
  <w:footnote w:id="1">
    <w:p w:rsidR="00BE10D3" w:rsidRPr="00D4311A" w:rsidRDefault="00BE10D3">
      <w:pPr>
        <w:pStyle w:val="FootnoteText"/>
        <w:rPr>
          <w:sz w:val="18"/>
          <w:szCs w:val="18"/>
        </w:rPr>
      </w:pPr>
      <w:r w:rsidRPr="00D4311A">
        <w:rPr>
          <w:rStyle w:val="FootnoteReference"/>
          <w:sz w:val="18"/>
          <w:szCs w:val="18"/>
        </w:rPr>
        <w:footnoteRef/>
      </w:r>
      <w:r w:rsidRPr="00D4311A">
        <w:rPr>
          <w:sz w:val="18"/>
          <w:szCs w:val="18"/>
        </w:rPr>
        <w:t xml:space="preserve"> Australian Bureau of Statistics. (201</w:t>
      </w:r>
      <w:r w:rsidR="005F03EC" w:rsidRPr="00D4311A">
        <w:rPr>
          <w:sz w:val="18"/>
          <w:szCs w:val="18"/>
        </w:rPr>
        <w:t>7</w:t>
      </w:r>
      <w:r w:rsidRPr="00D4311A">
        <w:rPr>
          <w:sz w:val="18"/>
          <w:szCs w:val="18"/>
        </w:rPr>
        <w:t>). Regional Population Growth, Australia. Cat 3218.0</w:t>
      </w:r>
      <w:r w:rsidR="00507F8C" w:rsidRPr="00D4311A">
        <w:rPr>
          <w:sz w:val="18"/>
          <w:szCs w:val="18"/>
        </w:rPr>
        <w:t xml:space="preserve">. Retrieved from </w:t>
      </w:r>
      <w:hyperlink r:id="rId1" w:history="1">
        <w:r w:rsidR="00507F8C" w:rsidRPr="00D4311A">
          <w:rPr>
            <w:rStyle w:val="Hyperlink"/>
            <w:color w:val="auto"/>
            <w:sz w:val="18"/>
            <w:szCs w:val="18"/>
          </w:rPr>
          <w:t>http://www.abs.gov.au/AUSSTATS/abs@.nsf/Lookup/3218.0Main+Features12016?OpenDocument</w:t>
        </w:r>
      </w:hyperlink>
      <w:r w:rsidR="00507F8C" w:rsidRPr="00D4311A">
        <w:rPr>
          <w:sz w:val="18"/>
          <w:szCs w:val="18"/>
        </w:rPr>
        <w:t xml:space="preserve"> </w:t>
      </w:r>
    </w:p>
  </w:footnote>
  <w:footnote w:id="2">
    <w:p w:rsidR="00BE10D3" w:rsidRPr="00D4311A" w:rsidRDefault="00BE10D3" w:rsidP="00D4311A">
      <w:pPr>
        <w:spacing w:after="120"/>
        <w:rPr>
          <w:color w:val="0000FF" w:themeColor="hyperlink"/>
          <w:sz w:val="18"/>
          <w:szCs w:val="18"/>
          <w:u w:val="single"/>
        </w:rPr>
      </w:pPr>
      <w:r w:rsidRPr="00D4311A">
        <w:rPr>
          <w:rStyle w:val="FootnoteReference"/>
          <w:sz w:val="18"/>
          <w:szCs w:val="18"/>
        </w:rPr>
        <w:footnoteRef/>
      </w:r>
      <w:r w:rsidRPr="00D4311A">
        <w:rPr>
          <w:sz w:val="18"/>
          <w:szCs w:val="18"/>
        </w:rPr>
        <w:t xml:space="preserve"> </w:t>
      </w:r>
      <w:r w:rsidR="00D4311A" w:rsidRPr="00D4311A">
        <w:rPr>
          <w:sz w:val="18"/>
          <w:szCs w:val="18"/>
        </w:rPr>
        <w:t xml:space="preserve">.ID Population Forecast. (2016). </w:t>
      </w:r>
      <w:r w:rsidR="00D4311A" w:rsidRPr="00D4311A">
        <w:rPr>
          <w:i/>
          <w:sz w:val="18"/>
          <w:szCs w:val="18"/>
        </w:rPr>
        <w:t>City of Wyndham Population and Household Forecasts 2011-2036</w:t>
      </w:r>
      <w:r w:rsidR="00D4311A" w:rsidRPr="00D4311A">
        <w:rPr>
          <w:sz w:val="18"/>
          <w:szCs w:val="18"/>
        </w:rPr>
        <w:t xml:space="preserve">. Retrieved from </w:t>
      </w:r>
      <w:hyperlink r:id="rId2" w:history="1">
        <w:r w:rsidR="00D4311A" w:rsidRPr="00D4311A">
          <w:rPr>
            <w:rStyle w:val="Hyperlink"/>
            <w:sz w:val="18"/>
            <w:szCs w:val="18"/>
          </w:rPr>
          <w:t>http://forecast.id.com.au/wyndham</w:t>
        </w:r>
      </w:hyperlink>
    </w:p>
  </w:footnote>
  <w:footnote w:id="3">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Rates database, Wyndham City Council</w:t>
      </w:r>
    </w:p>
  </w:footnote>
  <w:footnote w:id="4">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Building Services and Strategic Planning, Wyndham City Council</w:t>
      </w:r>
    </w:p>
  </w:footnote>
  <w:footnote w:id="5">
    <w:p w:rsidR="00BE10D3" w:rsidRDefault="00BE10D3" w:rsidP="00BE10D3">
      <w:pPr>
        <w:pStyle w:val="FootnoteText"/>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Maternal Child &amp; health database, Wyndham City Council</w:t>
      </w:r>
    </w:p>
  </w:footnote>
  <w:footnote w:id="6">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Rates database, Wyndham City Council</w:t>
      </w:r>
    </w:p>
  </w:footnote>
  <w:footnote w:id="7">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Building Services and Strategic Planning, Wyndham City Council</w:t>
      </w:r>
    </w:p>
  </w:footnote>
  <w:footnote w:id="8">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Maternal Child &amp; health database, Wyndham City Council</w:t>
      </w:r>
    </w:p>
  </w:footnote>
  <w:footnote w:id="9">
    <w:p w:rsidR="00BE10D3" w:rsidRDefault="00BE10D3" w:rsidP="00BE10D3">
      <w:pPr>
        <w:pStyle w:val="FootnoteText"/>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Australian Bureau of Statistics, Estimated Residential Population , 3218.0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B86"/>
    <w:multiLevelType w:val="hybridMultilevel"/>
    <w:tmpl w:val="190E77C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D3"/>
    <w:rsid w:val="000252CA"/>
    <w:rsid w:val="00180D1E"/>
    <w:rsid w:val="001F08BA"/>
    <w:rsid w:val="002A4CA2"/>
    <w:rsid w:val="00397B47"/>
    <w:rsid w:val="003B5817"/>
    <w:rsid w:val="004136FF"/>
    <w:rsid w:val="00437FB3"/>
    <w:rsid w:val="00457EFD"/>
    <w:rsid w:val="004B52CD"/>
    <w:rsid w:val="00507F8C"/>
    <w:rsid w:val="005D55CC"/>
    <w:rsid w:val="005E23FC"/>
    <w:rsid w:val="005F03EC"/>
    <w:rsid w:val="00631507"/>
    <w:rsid w:val="006F303D"/>
    <w:rsid w:val="0083541E"/>
    <w:rsid w:val="00965F97"/>
    <w:rsid w:val="00975353"/>
    <w:rsid w:val="00A7780C"/>
    <w:rsid w:val="00B42CBB"/>
    <w:rsid w:val="00B567F7"/>
    <w:rsid w:val="00BB31EC"/>
    <w:rsid w:val="00BE10D3"/>
    <w:rsid w:val="00C61D42"/>
    <w:rsid w:val="00D14457"/>
    <w:rsid w:val="00D4311A"/>
    <w:rsid w:val="00D80A97"/>
    <w:rsid w:val="00E166A7"/>
    <w:rsid w:val="00E53DB1"/>
    <w:rsid w:val="00E97F89"/>
    <w:rsid w:val="00EF5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0D3"/>
  </w:style>
  <w:style w:type="paragraph" w:styleId="ListParagraph">
    <w:name w:val="List Paragraph"/>
    <w:basedOn w:val="Normal"/>
    <w:uiPriority w:val="34"/>
    <w:qFormat/>
    <w:rsid w:val="00BE10D3"/>
    <w:pPr>
      <w:ind w:left="720"/>
      <w:contextualSpacing/>
    </w:pPr>
    <w:rPr>
      <w:rFonts w:eastAsiaTheme="minorEastAsia"/>
      <w:lang w:eastAsia="en-AU"/>
    </w:rPr>
  </w:style>
  <w:style w:type="paragraph" w:styleId="FootnoteText">
    <w:name w:val="footnote text"/>
    <w:basedOn w:val="Normal"/>
    <w:link w:val="FootnoteTextChar"/>
    <w:uiPriority w:val="99"/>
    <w:semiHidden/>
    <w:unhideWhenUsed/>
    <w:rsid w:val="00BE1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0D3"/>
    <w:rPr>
      <w:sz w:val="20"/>
      <w:szCs w:val="20"/>
    </w:rPr>
  </w:style>
  <w:style w:type="character" w:styleId="FootnoteReference">
    <w:name w:val="footnote reference"/>
    <w:basedOn w:val="DefaultParagraphFont"/>
    <w:uiPriority w:val="99"/>
    <w:semiHidden/>
    <w:unhideWhenUsed/>
    <w:rsid w:val="00BE10D3"/>
    <w:rPr>
      <w:vertAlign w:val="superscript"/>
    </w:rPr>
  </w:style>
  <w:style w:type="paragraph" w:styleId="BalloonText">
    <w:name w:val="Balloon Text"/>
    <w:basedOn w:val="Normal"/>
    <w:link w:val="BalloonTextChar"/>
    <w:uiPriority w:val="99"/>
    <w:semiHidden/>
    <w:unhideWhenUsed/>
    <w:rsid w:val="00BE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D3"/>
    <w:rPr>
      <w:rFonts w:ascii="Tahoma" w:hAnsi="Tahoma" w:cs="Tahoma"/>
      <w:sz w:val="16"/>
      <w:szCs w:val="16"/>
    </w:rPr>
  </w:style>
  <w:style w:type="character" w:styleId="CommentReference">
    <w:name w:val="annotation reference"/>
    <w:basedOn w:val="DefaultParagraphFont"/>
    <w:uiPriority w:val="99"/>
    <w:semiHidden/>
    <w:unhideWhenUsed/>
    <w:rsid w:val="00507F8C"/>
    <w:rPr>
      <w:sz w:val="16"/>
      <w:szCs w:val="16"/>
    </w:rPr>
  </w:style>
  <w:style w:type="paragraph" w:styleId="CommentText">
    <w:name w:val="annotation text"/>
    <w:basedOn w:val="Normal"/>
    <w:link w:val="CommentTextChar"/>
    <w:uiPriority w:val="99"/>
    <w:semiHidden/>
    <w:unhideWhenUsed/>
    <w:rsid w:val="00507F8C"/>
    <w:pPr>
      <w:spacing w:line="240" w:lineRule="auto"/>
    </w:pPr>
    <w:rPr>
      <w:sz w:val="20"/>
      <w:szCs w:val="20"/>
    </w:rPr>
  </w:style>
  <w:style w:type="character" w:customStyle="1" w:styleId="CommentTextChar">
    <w:name w:val="Comment Text Char"/>
    <w:basedOn w:val="DefaultParagraphFont"/>
    <w:link w:val="CommentText"/>
    <w:uiPriority w:val="99"/>
    <w:semiHidden/>
    <w:rsid w:val="00507F8C"/>
    <w:rPr>
      <w:sz w:val="20"/>
      <w:szCs w:val="20"/>
    </w:rPr>
  </w:style>
  <w:style w:type="paragraph" w:styleId="CommentSubject">
    <w:name w:val="annotation subject"/>
    <w:basedOn w:val="CommentText"/>
    <w:next w:val="CommentText"/>
    <w:link w:val="CommentSubjectChar"/>
    <w:uiPriority w:val="99"/>
    <w:semiHidden/>
    <w:unhideWhenUsed/>
    <w:rsid w:val="00507F8C"/>
    <w:rPr>
      <w:b/>
      <w:bCs/>
    </w:rPr>
  </w:style>
  <w:style w:type="character" w:customStyle="1" w:styleId="CommentSubjectChar">
    <w:name w:val="Comment Subject Char"/>
    <w:basedOn w:val="CommentTextChar"/>
    <w:link w:val="CommentSubject"/>
    <w:uiPriority w:val="99"/>
    <w:semiHidden/>
    <w:rsid w:val="00507F8C"/>
    <w:rPr>
      <w:b/>
      <w:bCs/>
      <w:sz w:val="20"/>
      <w:szCs w:val="20"/>
    </w:rPr>
  </w:style>
  <w:style w:type="character" w:styleId="Hyperlink">
    <w:name w:val="Hyperlink"/>
    <w:basedOn w:val="DefaultParagraphFont"/>
    <w:uiPriority w:val="99"/>
    <w:unhideWhenUsed/>
    <w:rsid w:val="00507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0D3"/>
  </w:style>
  <w:style w:type="paragraph" w:styleId="ListParagraph">
    <w:name w:val="List Paragraph"/>
    <w:basedOn w:val="Normal"/>
    <w:uiPriority w:val="34"/>
    <w:qFormat/>
    <w:rsid w:val="00BE10D3"/>
    <w:pPr>
      <w:ind w:left="720"/>
      <w:contextualSpacing/>
    </w:pPr>
    <w:rPr>
      <w:rFonts w:eastAsiaTheme="minorEastAsia"/>
      <w:lang w:eastAsia="en-AU"/>
    </w:rPr>
  </w:style>
  <w:style w:type="paragraph" w:styleId="FootnoteText">
    <w:name w:val="footnote text"/>
    <w:basedOn w:val="Normal"/>
    <w:link w:val="FootnoteTextChar"/>
    <w:uiPriority w:val="99"/>
    <w:semiHidden/>
    <w:unhideWhenUsed/>
    <w:rsid w:val="00BE1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0D3"/>
    <w:rPr>
      <w:sz w:val="20"/>
      <w:szCs w:val="20"/>
    </w:rPr>
  </w:style>
  <w:style w:type="character" w:styleId="FootnoteReference">
    <w:name w:val="footnote reference"/>
    <w:basedOn w:val="DefaultParagraphFont"/>
    <w:uiPriority w:val="99"/>
    <w:semiHidden/>
    <w:unhideWhenUsed/>
    <w:rsid w:val="00BE10D3"/>
    <w:rPr>
      <w:vertAlign w:val="superscript"/>
    </w:rPr>
  </w:style>
  <w:style w:type="paragraph" w:styleId="BalloonText">
    <w:name w:val="Balloon Text"/>
    <w:basedOn w:val="Normal"/>
    <w:link w:val="BalloonTextChar"/>
    <w:uiPriority w:val="99"/>
    <w:semiHidden/>
    <w:unhideWhenUsed/>
    <w:rsid w:val="00BE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D3"/>
    <w:rPr>
      <w:rFonts w:ascii="Tahoma" w:hAnsi="Tahoma" w:cs="Tahoma"/>
      <w:sz w:val="16"/>
      <w:szCs w:val="16"/>
    </w:rPr>
  </w:style>
  <w:style w:type="character" w:styleId="CommentReference">
    <w:name w:val="annotation reference"/>
    <w:basedOn w:val="DefaultParagraphFont"/>
    <w:uiPriority w:val="99"/>
    <w:semiHidden/>
    <w:unhideWhenUsed/>
    <w:rsid w:val="00507F8C"/>
    <w:rPr>
      <w:sz w:val="16"/>
      <w:szCs w:val="16"/>
    </w:rPr>
  </w:style>
  <w:style w:type="paragraph" w:styleId="CommentText">
    <w:name w:val="annotation text"/>
    <w:basedOn w:val="Normal"/>
    <w:link w:val="CommentTextChar"/>
    <w:uiPriority w:val="99"/>
    <w:semiHidden/>
    <w:unhideWhenUsed/>
    <w:rsid w:val="00507F8C"/>
    <w:pPr>
      <w:spacing w:line="240" w:lineRule="auto"/>
    </w:pPr>
    <w:rPr>
      <w:sz w:val="20"/>
      <w:szCs w:val="20"/>
    </w:rPr>
  </w:style>
  <w:style w:type="character" w:customStyle="1" w:styleId="CommentTextChar">
    <w:name w:val="Comment Text Char"/>
    <w:basedOn w:val="DefaultParagraphFont"/>
    <w:link w:val="CommentText"/>
    <w:uiPriority w:val="99"/>
    <w:semiHidden/>
    <w:rsid w:val="00507F8C"/>
    <w:rPr>
      <w:sz w:val="20"/>
      <w:szCs w:val="20"/>
    </w:rPr>
  </w:style>
  <w:style w:type="paragraph" w:styleId="CommentSubject">
    <w:name w:val="annotation subject"/>
    <w:basedOn w:val="CommentText"/>
    <w:next w:val="CommentText"/>
    <w:link w:val="CommentSubjectChar"/>
    <w:uiPriority w:val="99"/>
    <w:semiHidden/>
    <w:unhideWhenUsed/>
    <w:rsid w:val="00507F8C"/>
    <w:rPr>
      <w:b/>
      <w:bCs/>
    </w:rPr>
  </w:style>
  <w:style w:type="character" w:customStyle="1" w:styleId="CommentSubjectChar">
    <w:name w:val="Comment Subject Char"/>
    <w:basedOn w:val="CommentTextChar"/>
    <w:link w:val="CommentSubject"/>
    <w:uiPriority w:val="99"/>
    <w:semiHidden/>
    <w:rsid w:val="00507F8C"/>
    <w:rPr>
      <w:b/>
      <w:bCs/>
      <w:sz w:val="20"/>
      <w:szCs w:val="20"/>
    </w:rPr>
  </w:style>
  <w:style w:type="character" w:styleId="Hyperlink">
    <w:name w:val="Hyperlink"/>
    <w:basedOn w:val="DefaultParagraphFont"/>
    <w:uiPriority w:val="99"/>
    <w:unhideWhenUsed/>
    <w:rsid w:val="00507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forecast.id.com.au/wyndham" TargetMode="External"/><Relationship Id="rId1" Type="http://schemas.openxmlformats.org/officeDocument/2006/relationships/hyperlink" Target="http://www.abs.gov.au/AUSSTATS/abs@.nsf/Lookup/3218.0Main+Features12016?OpenDocu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visser\objcache\rvisser\Objects\Quarterly%20Growth%20Indicators%20-%20Data%20-%202014-02%20(A102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800" b="1" i="0" baseline="0">
                <a:effectLst/>
              </a:rPr>
              <a:t>Quarterly Growth Indicators</a:t>
            </a:r>
            <a:endParaRPr lang="en-AU">
              <a:effectLst/>
            </a:endParaRPr>
          </a:p>
          <a:p>
            <a:pPr>
              <a:defRPr/>
            </a:pPr>
            <a:r>
              <a:rPr lang="en-AU" sz="1800" b="1" i="0" baseline="0">
                <a:effectLst/>
              </a:rPr>
              <a:t>June 2012 - June 2017</a:t>
            </a:r>
            <a:endParaRPr lang="en-AU">
              <a:effectLst/>
            </a:endParaRPr>
          </a:p>
        </c:rich>
      </c:tx>
      <c:layout/>
      <c:overlay val="0"/>
    </c:title>
    <c:autoTitleDeleted val="0"/>
    <c:plotArea>
      <c:layout/>
      <c:lineChart>
        <c:grouping val="standard"/>
        <c:varyColors val="0"/>
        <c:ser>
          <c:idx val="0"/>
          <c:order val="0"/>
          <c:tx>
            <c:strRef>
              <c:f>'Apr - Jun 2017'!$B$2</c:f>
              <c:strCache>
                <c:ptCount val="1"/>
                <c:pt idx="0">
                  <c:v>New Requests for a Garbage Service</c:v>
                </c:pt>
              </c:strCache>
            </c:strRef>
          </c:tx>
          <c:marker>
            <c:symbol val="none"/>
          </c:marker>
          <c:cat>
            <c:strRef>
              <c:f>'Apr - Jun 2017'!$A$3:$A$23</c:f>
              <c:strCache>
                <c:ptCount val="21"/>
                <c:pt idx="0">
                  <c:v>31-Jun-12</c:v>
                </c:pt>
                <c:pt idx="1">
                  <c:v>31-Sep-12</c:v>
                </c:pt>
                <c:pt idx="2">
                  <c:v>31-Dec-12</c:v>
                </c:pt>
                <c:pt idx="3">
                  <c:v>31-Mar-13</c:v>
                </c:pt>
                <c:pt idx="4">
                  <c:v>30-Jun-13</c:v>
                </c:pt>
                <c:pt idx="5">
                  <c:v>31-Sep-13</c:v>
                </c:pt>
                <c:pt idx="6">
                  <c:v>31-Dec-13</c:v>
                </c:pt>
                <c:pt idx="7">
                  <c:v>31-Mar-14</c:v>
                </c:pt>
                <c:pt idx="8">
                  <c:v>30-Jun-14</c:v>
                </c:pt>
                <c:pt idx="9">
                  <c:v>31-Sep-14</c:v>
                </c:pt>
                <c:pt idx="10">
                  <c:v>31-Dec-14</c:v>
                </c:pt>
                <c:pt idx="11">
                  <c:v>31-Mar-15</c:v>
                </c:pt>
                <c:pt idx="12">
                  <c:v>31-Jun-15</c:v>
                </c:pt>
                <c:pt idx="13">
                  <c:v>31-Sept-15</c:v>
                </c:pt>
                <c:pt idx="14">
                  <c:v>31-Dec-15</c:v>
                </c:pt>
                <c:pt idx="15">
                  <c:v>31-Mar-16</c:v>
                </c:pt>
                <c:pt idx="16">
                  <c:v>30-Jun-16</c:v>
                </c:pt>
                <c:pt idx="17">
                  <c:v>30-Sep-16</c:v>
                </c:pt>
                <c:pt idx="18">
                  <c:v>31-Dec-16</c:v>
                </c:pt>
                <c:pt idx="19">
                  <c:v>31-Mar-17</c:v>
                </c:pt>
                <c:pt idx="20">
                  <c:v>30-Jun-17</c:v>
                </c:pt>
              </c:strCache>
            </c:strRef>
          </c:cat>
          <c:val>
            <c:numRef>
              <c:f>'Apr - Jun 2017'!$B$3:$B$23</c:f>
              <c:numCache>
                <c:formatCode>General</c:formatCode>
                <c:ptCount val="21"/>
                <c:pt idx="0">
                  <c:v>790</c:v>
                </c:pt>
                <c:pt idx="1">
                  <c:v>1845</c:v>
                </c:pt>
                <c:pt idx="2">
                  <c:v>1082</c:v>
                </c:pt>
                <c:pt idx="3">
                  <c:v>520</c:v>
                </c:pt>
                <c:pt idx="4">
                  <c:v>631</c:v>
                </c:pt>
                <c:pt idx="5">
                  <c:v>405</c:v>
                </c:pt>
                <c:pt idx="6">
                  <c:v>876</c:v>
                </c:pt>
                <c:pt idx="7">
                  <c:v>538</c:v>
                </c:pt>
                <c:pt idx="8">
                  <c:v>356</c:v>
                </c:pt>
                <c:pt idx="9">
                  <c:v>601</c:v>
                </c:pt>
                <c:pt idx="10">
                  <c:v>1083</c:v>
                </c:pt>
                <c:pt idx="11">
                  <c:v>526</c:v>
                </c:pt>
                <c:pt idx="12">
                  <c:v>714</c:v>
                </c:pt>
                <c:pt idx="13">
                  <c:v>596</c:v>
                </c:pt>
                <c:pt idx="14">
                  <c:v>799</c:v>
                </c:pt>
                <c:pt idx="15">
                  <c:v>537</c:v>
                </c:pt>
                <c:pt idx="16">
                  <c:v>1335</c:v>
                </c:pt>
                <c:pt idx="17">
                  <c:v>820</c:v>
                </c:pt>
                <c:pt idx="18">
                  <c:v>1644</c:v>
                </c:pt>
                <c:pt idx="19">
                  <c:v>1263</c:v>
                </c:pt>
                <c:pt idx="20" formatCode="0">
                  <c:v>1040</c:v>
                </c:pt>
              </c:numCache>
            </c:numRef>
          </c:val>
          <c:smooth val="0"/>
        </c:ser>
        <c:ser>
          <c:idx val="1"/>
          <c:order val="1"/>
          <c:tx>
            <c:strRef>
              <c:f>'Apr - Jun 2017'!$C$2</c:f>
              <c:strCache>
                <c:ptCount val="1"/>
                <c:pt idx="0">
                  <c:v>Building Approvals for New Dwellings</c:v>
                </c:pt>
              </c:strCache>
            </c:strRef>
          </c:tx>
          <c:marker>
            <c:symbol val="none"/>
          </c:marker>
          <c:cat>
            <c:strRef>
              <c:f>'Apr - Jun 2017'!$A$3:$A$23</c:f>
              <c:strCache>
                <c:ptCount val="21"/>
                <c:pt idx="0">
                  <c:v>31-Jun-12</c:v>
                </c:pt>
                <c:pt idx="1">
                  <c:v>31-Sep-12</c:v>
                </c:pt>
                <c:pt idx="2">
                  <c:v>31-Dec-12</c:v>
                </c:pt>
                <c:pt idx="3">
                  <c:v>31-Mar-13</c:v>
                </c:pt>
                <c:pt idx="4">
                  <c:v>30-Jun-13</c:v>
                </c:pt>
                <c:pt idx="5">
                  <c:v>31-Sep-13</c:v>
                </c:pt>
                <c:pt idx="6">
                  <c:v>31-Dec-13</c:v>
                </c:pt>
                <c:pt idx="7">
                  <c:v>31-Mar-14</c:v>
                </c:pt>
                <c:pt idx="8">
                  <c:v>30-Jun-14</c:v>
                </c:pt>
                <c:pt idx="9">
                  <c:v>31-Sep-14</c:v>
                </c:pt>
                <c:pt idx="10">
                  <c:v>31-Dec-14</c:v>
                </c:pt>
                <c:pt idx="11">
                  <c:v>31-Mar-15</c:v>
                </c:pt>
                <c:pt idx="12">
                  <c:v>31-Jun-15</c:v>
                </c:pt>
                <c:pt idx="13">
                  <c:v>31-Sept-15</c:v>
                </c:pt>
                <c:pt idx="14">
                  <c:v>31-Dec-15</c:v>
                </c:pt>
                <c:pt idx="15">
                  <c:v>31-Mar-16</c:v>
                </c:pt>
                <c:pt idx="16">
                  <c:v>30-Jun-16</c:v>
                </c:pt>
                <c:pt idx="17">
                  <c:v>30-Sep-16</c:v>
                </c:pt>
                <c:pt idx="18">
                  <c:v>31-Dec-16</c:v>
                </c:pt>
                <c:pt idx="19">
                  <c:v>31-Mar-17</c:v>
                </c:pt>
                <c:pt idx="20">
                  <c:v>30-Jun-17</c:v>
                </c:pt>
              </c:strCache>
            </c:strRef>
          </c:cat>
          <c:val>
            <c:numRef>
              <c:f>'Apr - Jun 2017'!$C$3:$C$23</c:f>
              <c:numCache>
                <c:formatCode>General</c:formatCode>
                <c:ptCount val="21"/>
                <c:pt idx="0">
                  <c:v>527</c:v>
                </c:pt>
                <c:pt idx="1">
                  <c:v>693</c:v>
                </c:pt>
                <c:pt idx="2">
                  <c:v>605</c:v>
                </c:pt>
                <c:pt idx="3">
                  <c:v>329</c:v>
                </c:pt>
                <c:pt idx="4">
                  <c:v>563</c:v>
                </c:pt>
                <c:pt idx="5">
                  <c:v>521</c:v>
                </c:pt>
                <c:pt idx="6">
                  <c:v>663</c:v>
                </c:pt>
                <c:pt idx="7">
                  <c:v>569</c:v>
                </c:pt>
                <c:pt idx="8">
                  <c:v>720</c:v>
                </c:pt>
                <c:pt idx="9">
                  <c:v>924</c:v>
                </c:pt>
                <c:pt idx="10">
                  <c:v>812</c:v>
                </c:pt>
                <c:pt idx="11">
                  <c:v>661</c:v>
                </c:pt>
                <c:pt idx="12">
                  <c:v>693</c:v>
                </c:pt>
                <c:pt idx="13">
                  <c:v>1058</c:v>
                </c:pt>
                <c:pt idx="14">
                  <c:v>956</c:v>
                </c:pt>
                <c:pt idx="15">
                  <c:v>970</c:v>
                </c:pt>
                <c:pt idx="16">
                  <c:v>919</c:v>
                </c:pt>
                <c:pt idx="17">
                  <c:v>1221</c:v>
                </c:pt>
                <c:pt idx="18">
                  <c:v>847</c:v>
                </c:pt>
                <c:pt idx="19">
                  <c:v>832</c:v>
                </c:pt>
                <c:pt idx="20" formatCode="0">
                  <c:v>1105</c:v>
                </c:pt>
              </c:numCache>
            </c:numRef>
          </c:val>
          <c:smooth val="0"/>
        </c:ser>
        <c:ser>
          <c:idx val="2"/>
          <c:order val="2"/>
          <c:tx>
            <c:strRef>
              <c:f>'Apr - Jun 2017'!$D$2</c:f>
              <c:strCache>
                <c:ptCount val="1"/>
                <c:pt idx="0">
                  <c:v>Birth Notices</c:v>
                </c:pt>
              </c:strCache>
            </c:strRef>
          </c:tx>
          <c:marker>
            <c:symbol val="none"/>
          </c:marker>
          <c:cat>
            <c:strRef>
              <c:f>'Apr - Jun 2017'!$A$3:$A$23</c:f>
              <c:strCache>
                <c:ptCount val="21"/>
                <c:pt idx="0">
                  <c:v>31-Jun-12</c:v>
                </c:pt>
                <c:pt idx="1">
                  <c:v>31-Sep-12</c:v>
                </c:pt>
                <c:pt idx="2">
                  <c:v>31-Dec-12</c:v>
                </c:pt>
                <c:pt idx="3">
                  <c:v>31-Mar-13</c:v>
                </c:pt>
                <c:pt idx="4">
                  <c:v>30-Jun-13</c:v>
                </c:pt>
                <c:pt idx="5">
                  <c:v>31-Sep-13</c:v>
                </c:pt>
                <c:pt idx="6">
                  <c:v>31-Dec-13</c:v>
                </c:pt>
                <c:pt idx="7">
                  <c:v>31-Mar-14</c:v>
                </c:pt>
                <c:pt idx="8">
                  <c:v>30-Jun-14</c:v>
                </c:pt>
                <c:pt idx="9">
                  <c:v>31-Sep-14</c:v>
                </c:pt>
                <c:pt idx="10">
                  <c:v>31-Dec-14</c:v>
                </c:pt>
                <c:pt idx="11">
                  <c:v>31-Mar-15</c:v>
                </c:pt>
                <c:pt idx="12">
                  <c:v>31-Jun-15</c:v>
                </c:pt>
                <c:pt idx="13">
                  <c:v>31-Sept-15</c:v>
                </c:pt>
                <c:pt idx="14">
                  <c:v>31-Dec-15</c:v>
                </c:pt>
                <c:pt idx="15">
                  <c:v>31-Mar-16</c:v>
                </c:pt>
                <c:pt idx="16">
                  <c:v>30-Jun-16</c:v>
                </c:pt>
                <c:pt idx="17">
                  <c:v>30-Sep-16</c:v>
                </c:pt>
                <c:pt idx="18">
                  <c:v>31-Dec-16</c:v>
                </c:pt>
                <c:pt idx="19">
                  <c:v>31-Mar-17</c:v>
                </c:pt>
                <c:pt idx="20">
                  <c:v>30-Jun-17</c:v>
                </c:pt>
              </c:strCache>
            </c:strRef>
          </c:cat>
          <c:val>
            <c:numRef>
              <c:f>'Apr - Jun 2017'!$D$3:$D$23</c:f>
              <c:numCache>
                <c:formatCode>General</c:formatCode>
                <c:ptCount val="21"/>
                <c:pt idx="0">
                  <c:v>932</c:v>
                </c:pt>
                <c:pt idx="1">
                  <c:v>839</c:v>
                </c:pt>
                <c:pt idx="2">
                  <c:v>1083</c:v>
                </c:pt>
                <c:pt idx="3">
                  <c:v>927</c:v>
                </c:pt>
                <c:pt idx="4">
                  <c:v>988</c:v>
                </c:pt>
                <c:pt idx="5">
                  <c:v>1041</c:v>
                </c:pt>
                <c:pt idx="6">
                  <c:v>1059</c:v>
                </c:pt>
                <c:pt idx="7">
                  <c:v>1020</c:v>
                </c:pt>
                <c:pt idx="8">
                  <c:v>939</c:v>
                </c:pt>
                <c:pt idx="9">
                  <c:v>1060</c:v>
                </c:pt>
                <c:pt idx="10">
                  <c:v>1101</c:v>
                </c:pt>
                <c:pt idx="11">
                  <c:v>1029</c:v>
                </c:pt>
                <c:pt idx="12">
                  <c:v>1023</c:v>
                </c:pt>
                <c:pt idx="13">
                  <c:v>1109</c:v>
                </c:pt>
                <c:pt idx="14">
                  <c:v>1113</c:v>
                </c:pt>
                <c:pt idx="15">
                  <c:v>1149</c:v>
                </c:pt>
                <c:pt idx="16">
                  <c:v>1062</c:v>
                </c:pt>
                <c:pt idx="17">
                  <c:v>1194</c:v>
                </c:pt>
                <c:pt idx="18">
                  <c:v>1113</c:v>
                </c:pt>
                <c:pt idx="19">
                  <c:v>1216</c:v>
                </c:pt>
                <c:pt idx="20" formatCode="0">
                  <c:v>950</c:v>
                </c:pt>
              </c:numCache>
            </c:numRef>
          </c:val>
          <c:smooth val="0"/>
        </c:ser>
        <c:dLbls>
          <c:showLegendKey val="0"/>
          <c:showVal val="0"/>
          <c:showCatName val="0"/>
          <c:showSerName val="0"/>
          <c:showPercent val="0"/>
          <c:showBubbleSize val="0"/>
        </c:dLbls>
        <c:marker val="1"/>
        <c:smooth val="0"/>
        <c:axId val="38814080"/>
        <c:axId val="38815616"/>
      </c:lineChart>
      <c:catAx>
        <c:axId val="38814080"/>
        <c:scaling>
          <c:orientation val="minMax"/>
        </c:scaling>
        <c:delete val="0"/>
        <c:axPos val="b"/>
        <c:majorTickMark val="none"/>
        <c:minorTickMark val="none"/>
        <c:tickLblPos val="nextTo"/>
        <c:crossAx val="38815616"/>
        <c:crosses val="autoZero"/>
        <c:auto val="1"/>
        <c:lblAlgn val="ctr"/>
        <c:lblOffset val="100"/>
        <c:noMultiLvlLbl val="0"/>
      </c:catAx>
      <c:valAx>
        <c:axId val="38815616"/>
        <c:scaling>
          <c:orientation val="minMax"/>
        </c:scaling>
        <c:delete val="0"/>
        <c:axPos val="l"/>
        <c:majorGridlines/>
        <c:numFmt formatCode="General" sourceLinked="1"/>
        <c:majorTickMark val="none"/>
        <c:minorTickMark val="none"/>
        <c:tickLblPos val="nextTo"/>
        <c:spPr>
          <a:ln w="9525">
            <a:noFill/>
          </a:ln>
        </c:spPr>
        <c:crossAx val="3881408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444C-9DBC-4063-83E7-53D79231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59AF93B.dotm</Template>
  <TotalTime>0</TotalTime>
  <Pages>4</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Linda Scorsis</cp:lastModifiedBy>
  <cp:revision>2</cp:revision>
  <cp:lastPrinted>2017-07-28T05:36:00Z</cp:lastPrinted>
  <dcterms:created xsi:type="dcterms:W3CDTF">2017-08-02T20:45:00Z</dcterms:created>
  <dcterms:modified xsi:type="dcterms:W3CDTF">2017-08-02T20:45:00Z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A1663441</vt:lpwstr>
  </property>
  <property fmtid="{D5CDD505-2E9C-101B-9397-08002B2CF9AE}" pid="4" name="Objective-Title">
    <vt:lpwstr>Quarterly Growth Indicators_March_2017</vt:lpwstr>
  </property>
  <property fmtid="{D5CDD505-2E9C-101B-9397-08002B2CF9AE}" pid="5" name="Objective-Comment">
    <vt:lpwstr/>
  </property>
  <property fmtid="{D5CDD505-2E9C-101B-9397-08002B2CF9AE}" pid="6" name="Objective-CreationStamp">
    <vt:filetime>2017-05-04T02:13:33Z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2017-05-04T02:15:13Z</vt:filetime>
  </property>
  <property fmtid="{D5CDD505-2E9C-101B-9397-08002B2CF9AE}" pid="10" name="Objective-ModificationStamp">
    <vt:filetime>2017-05-16T02:02:53Z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