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C8" w:rsidRDefault="00430DB0" w:rsidP="00F4181E">
      <w:pPr>
        <w:pStyle w:val="Header02"/>
      </w:pPr>
      <w:r>
        <w:rPr>
          <w:lang w:val="en-AU" w:eastAsia="en-AU"/>
        </w:rPr>
        <mc:AlternateContent>
          <mc:Choice Requires="wps">
            <w:drawing>
              <wp:anchor distT="0" distB="0" distL="114300" distR="114300" simplePos="0" relativeHeight="251655680" behindDoc="0" locked="0" layoutInCell="1" allowOverlap="1" wp14:anchorId="4541069D" wp14:editId="6AA78043">
                <wp:simplePos x="0" y="0"/>
                <wp:positionH relativeFrom="column">
                  <wp:posOffset>0</wp:posOffset>
                </wp:positionH>
                <wp:positionV relativeFrom="page">
                  <wp:posOffset>1728470</wp:posOffset>
                </wp:positionV>
                <wp:extent cx="3959860" cy="1044000"/>
                <wp:effectExtent l="0" t="0" r="2540" b="22860"/>
                <wp:wrapThrough wrapText="bothSides">
                  <wp:wrapPolygon edited="0">
                    <wp:start x="0" y="0"/>
                    <wp:lineTo x="0" y="21547"/>
                    <wp:lineTo x="21475" y="21547"/>
                    <wp:lineTo x="21475"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10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E6" w:rsidRDefault="006302DE" w:rsidP="00066BC8">
                            <w:pPr>
                              <w:pStyle w:val="Header01"/>
                            </w:pPr>
                            <w:proofErr w:type="spellStart"/>
                            <w:r>
                              <w:t>Truganina</w:t>
                            </w:r>
                            <w:proofErr w:type="spellEnd"/>
                            <w:r>
                              <w:t xml:space="preserve"> </w:t>
                            </w:r>
                          </w:p>
                          <w:p w:rsidR="00FC0DE6" w:rsidRPr="00DF1843" w:rsidRDefault="006302DE" w:rsidP="000D338F">
                            <w:pPr>
                              <w:pStyle w:val="IntroPara01"/>
                            </w:pPr>
                            <w:r>
                              <w:t>Suburb profile</w:t>
                            </w:r>
                          </w:p>
                          <w:p w:rsidR="00FC0DE6" w:rsidRDefault="00FC0DE6" w:rsidP="00066BC8">
                            <w:pPr>
                              <w:pStyle w:val="Header0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36.1pt;width:311.8pt;height:8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" filled="f" stroked="f">
                <v:textbox inset="0,0,0,0">
                  <w:txbxContent>
                    <w:p w:rsidR="00FC0DE6" w:rsidRDefault="006302DE" w:rsidP="00066BC8">
                      <w:pPr>
                        <w:pStyle w:val="Header01"/>
                      </w:pPr>
                      <w:proofErr w:type="spellStart"/>
                      <w:r>
                        <w:t>Truganina</w:t>
                      </w:r>
                      <w:proofErr w:type="spellEnd"/>
                      <w:r>
                        <w:t xml:space="preserve"> </w:t>
                      </w:r>
                    </w:p>
                    <w:p w:rsidR="00FC0DE6" w:rsidRPr="00DF1843" w:rsidRDefault="006302DE" w:rsidP="000D338F">
                      <w:pPr>
                        <w:pStyle w:val="IntroPara01"/>
                      </w:pPr>
                      <w:r>
                        <w:t>Suburb profile</w:t>
                      </w:r>
                      <w:bookmarkStart w:id="1" w:name="_GoBack"/>
                      <w:bookmarkEnd w:id="1"/>
                    </w:p>
                    <w:p w:rsidR="00FC0DE6" w:rsidRDefault="00FC0DE6" w:rsidP="00066BC8">
                      <w:pPr>
                        <w:pStyle w:val="Header01"/>
                      </w:pPr>
                    </w:p>
                  </w:txbxContent>
                </v:textbox>
                <w10:wrap type="through" anchory="page"/>
              </v:shape>
            </w:pict>
          </mc:Fallback>
        </mc:AlternateContent>
      </w:r>
      <w:r w:rsidR="00E62FDC">
        <w:t xml:space="preserve"> </w:t>
      </w:r>
    </w:p>
    <w:p w:rsidR="00F4181E" w:rsidRDefault="00F4181E" w:rsidP="00C723DB">
      <w:pPr>
        <w:pStyle w:val="Body01"/>
      </w:pPr>
    </w:p>
    <w:p w:rsidR="00F4181E" w:rsidRDefault="00F4181E" w:rsidP="00C723DB">
      <w:pPr>
        <w:pStyle w:val="Body01"/>
      </w:pPr>
    </w:p>
    <w:p w:rsidR="00F4181E" w:rsidRDefault="00F4181E" w:rsidP="00C723DB">
      <w:pPr>
        <w:pStyle w:val="Body01"/>
      </w:pPr>
    </w:p>
    <w:p w:rsidR="00F4181E" w:rsidRDefault="00F4181E" w:rsidP="00C723DB">
      <w:pPr>
        <w:pStyle w:val="Body01"/>
      </w:pPr>
    </w:p>
    <w:p w:rsidR="00F4181E" w:rsidRDefault="00F4181E" w:rsidP="00C723DB">
      <w:pPr>
        <w:pStyle w:val="Body01"/>
      </w:pPr>
    </w:p>
    <w:p w:rsidR="00F4181E" w:rsidRDefault="00F4181E" w:rsidP="00C723DB">
      <w:pPr>
        <w:pStyle w:val="Body01"/>
      </w:pPr>
    </w:p>
    <w:p w:rsidR="006302DE" w:rsidRPr="006302DE" w:rsidRDefault="006302DE" w:rsidP="006302DE">
      <w:pPr>
        <w:spacing w:after="120"/>
        <w:rPr>
          <w:rFonts w:asciiTheme="majorHAnsi" w:hAnsiTheme="majorHAnsi"/>
        </w:rPr>
      </w:pPr>
      <w:r w:rsidRPr="006302DE">
        <w:rPr>
          <w:rFonts w:asciiTheme="majorHAnsi" w:hAnsiTheme="majorHAnsi"/>
        </w:rPr>
        <w:t>Truganina is a highly diverse area located in the east of the Wyndham L</w:t>
      </w:r>
      <w:r w:rsidR="006629E8">
        <w:rPr>
          <w:rFonts w:asciiTheme="majorHAnsi" w:hAnsiTheme="majorHAnsi"/>
        </w:rPr>
        <w:t xml:space="preserve">ocal </w:t>
      </w:r>
      <w:r w:rsidRPr="006302DE">
        <w:rPr>
          <w:rFonts w:asciiTheme="majorHAnsi" w:hAnsiTheme="majorHAnsi"/>
        </w:rPr>
        <w:t>G</w:t>
      </w:r>
      <w:r w:rsidR="006629E8">
        <w:rPr>
          <w:rFonts w:asciiTheme="majorHAnsi" w:hAnsiTheme="majorHAnsi"/>
        </w:rPr>
        <w:t xml:space="preserve">overnment </w:t>
      </w:r>
      <w:r w:rsidRPr="006302DE">
        <w:rPr>
          <w:rFonts w:asciiTheme="majorHAnsi" w:hAnsiTheme="majorHAnsi"/>
        </w:rPr>
        <w:t>A</w:t>
      </w:r>
      <w:r w:rsidR="006629E8">
        <w:rPr>
          <w:rFonts w:asciiTheme="majorHAnsi" w:hAnsiTheme="majorHAnsi"/>
        </w:rPr>
        <w:t>rea</w:t>
      </w:r>
      <w:r w:rsidRPr="006302DE">
        <w:rPr>
          <w:rFonts w:asciiTheme="majorHAnsi" w:hAnsiTheme="majorHAnsi"/>
        </w:rPr>
        <w:t>. As well as having a rapidly growing residential area, there is a significant industrial hub within the suburb. At the beginning of 2017, there were over 1,500 registered businesses located across Truganina, the majority of which were in the Tra</w:t>
      </w:r>
      <w:r w:rsidR="006629E8">
        <w:rPr>
          <w:rFonts w:asciiTheme="majorHAnsi" w:hAnsiTheme="majorHAnsi"/>
        </w:rPr>
        <w:t>nsport, Postal and Warehousing i</w:t>
      </w:r>
      <w:r w:rsidRPr="006302DE">
        <w:rPr>
          <w:rFonts w:asciiTheme="majorHAnsi" w:hAnsiTheme="majorHAnsi"/>
        </w:rPr>
        <w:t xml:space="preserve">ndustry. </w:t>
      </w:r>
    </w:p>
    <w:p w:rsidR="006302DE" w:rsidRPr="006302DE" w:rsidRDefault="006302DE" w:rsidP="006302DE">
      <w:pPr>
        <w:spacing w:after="0"/>
        <w:rPr>
          <w:rFonts w:asciiTheme="majorHAnsi" w:hAnsiTheme="majorHAnsi"/>
          <w:b/>
        </w:rPr>
      </w:pPr>
      <w:r w:rsidRPr="006302DE">
        <w:rPr>
          <w:rFonts w:asciiTheme="majorHAnsi" w:hAnsiTheme="majorHAnsi"/>
          <w:b/>
        </w:rPr>
        <w:t xml:space="preserve">Population </w:t>
      </w:r>
    </w:p>
    <w:p w:rsidR="006302DE" w:rsidRPr="006302DE" w:rsidRDefault="006302DE" w:rsidP="006302DE">
      <w:pPr>
        <w:spacing w:after="120"/>
        <w:rPr>
          <w:rFonts w:asciiTheme="majorHAnsi" w:hAnsiTheme="majorHAnsi"/>
        </w:rPr>
      </w:pPr>
      <w:r w:rsidRPr="006302DE">
        <w:rPr>
          <w:rFonts w:asciiTheme="majorHAnsi" w:hAnsiTheme="majorHAnsi"/>
        </w:rPr>
        <w:t xml:space="preserve">There are 20,687 people living in Truganina, approximately 11, 549 more than there were in 2011. Truganina’s current population makes up 9.5% of the total population of Wyndham.  </w:t>
      </w:r>
    </w:p>
    <w:p w:rsidR="006302DE" w:rsidRPr="006302DE" w:rsidRDefault="006302DE" w:rsidP="006302DE">
      <w:pPr>
        <w:spacing w:after="120"/>
        <w:rPr>
          <w:rFonts w:asciiTheme="majorHAnsi" w:hAnsiTheme="majorHAnsi"/>
        </w:rPr>
      </w:pPr>
      <w:r w:rsidRPr="006302DE">
        <w:rPr>
          <w:rFonts w:asciiTheme="majorHAnsi" w:hAnsiTheme="majorHAnsi"/>
          <w:b/>
        </w:rPr>
        <w:t>Forecast</w:t>
      </w:r>
      <w:r w:rsidRPr="006302DE">
        <w:rPr>
          <w:rFonts w:asciiTheme="majorHAnsi" w:hAnsiTheme="majorHAnsi"/>
          <w:b/>
        </w:rPr>
        <w:br/>
      </w:r>
      <w:r w:rsidRPr="006302DE">
        <w:rPr>
          <w:rFonts w:asciiTheme="majorHAnsi" w:hAnsiTheme="majorHAnsi"/>
        </w:rPr>
        <w:t xml:space="preserve">The population of Truganina is forecast to more than double </w:t>
      </w:r>
      <w:r w:rsidR="00F4110D">
        <w:rPr>
          <w:rFonts w:asciiTheme="majorHAnsi" w:hAnsiTheme="majorHAnsi"/>
        </w:rPr>
        <w:t>over the next 20 years, from around 20,000 residents in 2016 to over 39,800 in 2036</w:t>
      </w:r>
      <w:r w:rsidRPr="006302DE">
        <w:rPr>
          <w:rFonts w:asciiTheme="majorHAnsi" w:hAnsiTheme="majorHAnsi"/>
        </w:rPr>
        <w:t xml:space="preserve"> (104.2%)</w:t>
      </w:r>
      <w:r w:rsidR="00F4110D">
        <w:rPr>
          <w:rFonts w:asciiTheme="majorHAnsi" w:hAnsiTheme="majorHAnsi"/>
        </w:rPr>
        <w:t xml:space="preserve"> </w:t>
      </w:r>
      <w:r w:rsidRPr="006302DE">
        <w:rPr>
          <w:rFonts w:asciiTheme="majorHAnsi" w:hAnsiTheme="majorHAnsi"/>
        </w:rPr>
        <w:t xml:space="preserve">. The largest growth is forecast to occur between 2016 and 2021, when the population is expected to increase by 10,111 residents (51.8%). </w:t>
      </w:r>
    </w:p>
    <w:p w:rsidR="006302DE" w:rsidRPr="006302DE" w:rsidRDefault="006302DE" w:rsidP="006302DE">
      <w:pPr>
        <w:spacing w:after="0"/>
        <w:rPr>
          <w:rFonts w:asciiTheme="majorHAnsi" w:hAnsiTheme="majorHAnsi"/>
          <w:b/>
        </w:rPr>
      </w:pPr>
      <w:r w:rsidRPr="006302DE">
        <w:rPr>
          <w:rFonts w:asciiTheme="majorHAnsi" w:hAnsiTheme="majorHAnsi"/>
          <w:b/>
        </w:rPr>
        <w:t>Age</w:t>
      </w:r>
    </w:p>
    <w:p w:rsidR="006302DE" w:rsidRPr="006302DE" w:rsidRDefault="006302DE" w:rsidP="006302DE">
      <w:pPr>
        <w:spacing w:after="120"/>
        <w:rPr>
          <w:rFonts w:asciiTheme="majorHAnsi" w:hAnsiTheme="majorHAnsi"/>
        </w:rPr>
      </w:pPr>
      <w:r w:rsidRPr="006302DE">
        <w:rPr>
          <w:rFonts w:asciiTheme="majorHAnsi" w:hAnsiTheme="majorHAnsi"/>
        </w:rPr>
        <w:t xml:space="preserve">The median age of Truganina residents is 29 years, 3 years younger than the Wyndham median of 32 years.  17% of Truganina residents are aged between 30 and 34 years, compared to 11% across Wyndham. </w:t>
      </w:r>
    </w:p>
    <w:p w:rsidR="006302DE" w:rsidRPr="006302DE" w:rsidRDefault="006302DE" w:rsidP="006302DE">
      <w:pPr>
        <w:spacing w:after="0"/>
        <w:rPr>
          <w:rFonts w:asciiTheme="majorHAnsi" w:hAnsiTheme="majorHAnsi"/>
          <w:b/>
        </w:rPr>
      </w:pPr>
      <w:r w:rsidRPr="006302DE">
        <w:rPr>
          <w:rFonts w:asciiTheme="majorHAnsi" w:hAnsiTheme="majorHAnsi"/>
          <w:b/>
        </w:rPr>
        <w:t xml:space="preserve">Births </w:t>
      </w:r>
    </w:p>
    <w:p w:rsidR="006302DE" w:rsidRPr="006302DE" w:rsidRDefault="006302DE" w:rsidP="006302DE">
      <w:pPr>
        <w:spacing w:after="120"/>
        <w:rPr>
          <w:rFonts w:asciiTheme="majorHAnsi" w:hAnsiTheme="majorHAnsi"/>
        </w:rPr>
      </w:pPr>
      <w:r w:rsidRPr="006302DE">
        <w:rPr>
          <w:rFonts w:asciiTheme="majorHAnsi" w:hAnsiTheme="majorHAnsi"/>
        </w:rPr>
        <w:t xml:space="preserve">In 2014, the number of births to parents living in Truganina was 452, an increase of 144% since 2010. </w:t>
      </w:r>
    </w:p>
    <w:p w:rsidR="006302DE" w:rsidRPr="006302DE" w:rsidRDefault="006302DE" w:rsidP="006302DE">
      <w:pPr>
        <w:spacing w:after="0"/>
        <w:rPr>
          <w:rFonts w:asciiTheme="majorHAnsi" w:hAnsiTheme="majorHAnsi"/>
          <w:b/>
        </w:rPr>
      </w:pPr>
      <w:r w:rsidRPr="006302DE">
        <w:rPr>
          <w:rFonts w:asciiTheme="majorHAnsi" w:hAnsiTheme="majorHAnsi"/>
          <w:b/>
        </w:rPr>
        <w:t xml:space="preserve">Cultural Diversity </w:t>
      </w:r>
    </w:p>
    <w:p w:rsidR="00F4110D" w:rsidRDefault="006302DE" w:rsidP="006302DE">
      <w:pPr>
        <w:spacing w:after="120"/>
        <w:rPr>
          <w:rFonts w:asciiTheme="majorHAnsi" w:hAnsiTheme="majorHAnsi"/>
        </w:rPr>
      </w:pPr>
      <w:r w:rsidRPr="006302DE">
        <w:rPr>
          <w:rFonts w:asciiTheme="majorHAnsi" w:hAnsiTheme="majorHAnsi"/>
        </w:rPr>
        <w:t xml:space="preserve">Truganina is more culturally diverse than Wyndham.  In 2016, 55% of Truganina residents were born overseas, compared to 42% of Wyndham residents. </w:t>
      </w:r>
      <w:r w:rsidR="00F4110D">
        <w:rPr>
          <w:rFonts w:asciiTheme="majorHAnsi" w:hAnsiTheme="majorHAnsi"/>
        </w:rPr>
        <w:t>Almost 20% of the Truganina population were born in India.</w:t>
      </w:r>
    </w:p>
    <w:p w:rsidR="006302DE" w:rsidRPr="006302DE" w:rsidRDefault="006302DE" w:rsidP="006302DE">
      <w:pPr>
        <w:spacing w:after="120"/>
        <w:rPr>
          <w:rFonts w:asciiTheme="majorHAnsi" w:hAnsiTheme="majorHAnsi"/>
        </w:rPr>
      </w:pPr>
      <w:r w:rsidRPr="006302DE">
        <w:rPr>
          <w:rFonts w:asciiTheme="majorHAnsi" w:hAnsiTheme="majorHAnsi"/>
        </w:rPr>
        <w:t xml:space="preserve">61% of Truganina residents speak a language other than English at home compared to 41% of Wyndham residents. The most common languages other than English spoken in the homes of Truganina residents include Punjabi, Hindi, Urdu, Arabic and Gujarati. </w:t>
      </w:r>
    </w:p>
    <w:p w:rsidR="006302DE" w:rsidRPr="006302DE" w:rsidRDefault="006302DE" w:rsidP="006302DE">
      <w:pPr>
        <w:spacing w:after="0"/>
        <w:rPr>
          <w:rFonts w:asciiTheme="majorHAnsi" w:hAnsiTheme="majorHAnsi"/>
          <w:b/>
        </w:rPr>
      </w:pPr>
      <w:r w:rsidRPr="006302DE">
        <w:rPr>
          <w:rFonts w:asciiTheme="majorHAnsi" w:hAnsiTheme="majorHAnsi"/>
          <w:b/>
        </w:rPr>
        <w:t>Households</w:t>
      </w:r>
    </w:p>
    <w:p w:rsidR="006302DE" w:rsidRPr="006302DE" w:rsidRDefault="006302DE" w:rsidP="006302DE">
      <w:pPr>
        <w:spacing w:after="0"/>
        <w:rPr>
          <w:rFonts w:asciiTheme="majorHAnsi" w:hAnsiTheme="majorHAnsi"/>
        </w:rPr>
      </w:pPr>
      <w:r w:rsidRPr="006302DE">
        <w:rPr>
          <w:rFonts w:asciiTheme="majorHAnsi" w:hAnsiTheme="majorHAnsi"/>
        </w:rPr>
        <w:t xml:space="preserve">The average household size in Truganina is 3.3 people, which is larger than the Wyndham average of 3.1 people per household. There are 6,276 dwellings in Truganina and in 2016, couples with children made up almost half (49%) of all </w:t>
      </w:r>
      <w:r w:rsidR="00F4110D">
        <w:rPr>
          <w:rFonts w:asciiTheme="majorHAnsi" w:hAnsiTheme="majorHAnsi"/>
        </w:rPr>
        <w:t>family types</w:t>
      </w:r>
      <w:r w:rsidRPr="006302DE">
        <w:rPr>
          <w:rFonts w:asciiTheme="majorHAnsi" w:hAnsiTheme="majorHAnsi"/>
        </w:rPr>
        <w:t xml:space="preserve">. </w:t>
      </w:r>
    </w:p>
    <w:p w:rsidR="006302DE" w:rsidRPr="006302DE" w:rsidRDefault="006302DE" w:rsidP="006302DE">
      <w:pPr>
        <w:spacing w:after="120"/>
        <w:rPr>
          <w:rFonts w:asciiTheme="majorHAnsi" w:hAnsiTheme="majorHAnsi"/>
          <w:b/>
        </w:rPr>
      </w:pPr>
      <w:r w:rsidRPr="006302DE">
        <w:rPr>
          <w:rFonts w:asciiTheme="majorHAnsi" w:hAnsiTheme="majorHAnsi"/>
          <w:b/>
        </w:rPr>
        <w:t>Tenure</w:t>
      </w:r>
      <w:r w:rsidRPr="006302DE">
        <w:rPr>
          <w:rFonts w:asciiTheme="majorHAnsi" w:hAnsiTheme="majorHAnsi"/>
          <w:b/>
        </w:rPr>
        <w:br/>
      </w:r>
      <w:r w:rsidRPr="006302DE">
        <w:rPr>
          <w:rFonts w:asciiTheme="majorHAnsi" w:hAnsiTheme="majorHAnsi"/>
        </w:rPr>
        <w:t>Truganina has the smallest proportion of fully owned homes across Wyndham</w:t>
      </w:r>
      <w:r w:rsidR="000B3EED">
        <w:rPr>
          <w:rFonts w:asciiTheme="majorHAnsi" w:hAnsiTheme="majorHAnsi"/>
        </w:rPr>
        <w:t xml:space="preserve"> (7.0%)</w:t>
      </w:r>
      <w:r w:rsidRPr="006302DE">
        <w:rPr>
          <w:rFonts w:asciiTheme="majorHAnsi" w:hAnsiTheme="majorHAnsi"/>
        </w:rPr>
        <w:t xml:space="preserve">. More than half (52%) of homes are owned with a mortgage, and over a quarter (26%) are rented. </w:t>
      </w:r>
    </w:p>
    <w:p w:rsidR="006302DE" w:rsidRPr="006302DE" w:rsidRDefault="006302DE" w:rsidP="006302DE">
      <w:pPr>
        <w:spacing w:after="0"/>
        <w:rPr>
          <w:rFonts w:asciiTheme="majorHAnsi" w:hAnsiTheme="majorHAnsi"/>
          <w:b/>
        </w:rPr>
      </w:pPr>
      <w:r w:rsidRPr="006302DE">
        <w:rPr>
          <w:rFonts w:asciiTheme="majorHAnsi" w:hAnsiTheme="majorHAnsi"/>
          <w:b/>
        </w:rPr>
        <w:t>Employment</w:t>
      </w:r>
    </w:p>
    <w:p w:rsidR="006302DE" w:rsidRPr="006302DE" w:rsidRDefault="006302DE" w:rsidP="006302DE">
      <w:pPr>
        <w:spacing w:after="120"/>
        <w:rPr>
          <w:rFonts w:asciiTheme="majorHAnsi" w:hAnsiTheme="majorHAnsi"/>
        </w:rPr>
      </w:pPr>
      <w:r w:rsidRPr="006302DE">
        <w:rPr>
          <w:rFonts w:asciiTheme="majorHAnsi" w:hAnsiTheme="majorHAnsi"/>
        </w:rPr>
        <w:t>The top three industries of employment for Truganina residents in 2011 were manufacturing, transport, postal and warehousing and retail trade.</w:t>
      </w:r>
    </w:p>
    <w:p w:rsidR="006302DE" w:rsidRPr="006302DE" w:rsidRDefault="006302DE" w:rsidP="006302DE">
      <w:pPr>
        <w:spacing w:after="0"/>
        <w:rPr>
          <w:rFonts w:asciiTheme="majorHAnsi" w:hAnsiTheme="majorHAnsi"/>
          <w:b/>
        </w:rPr>
      </w:pPr>
      <w:r w:rsidRPr="006302DE">
        <w:rPr>
          <w:rFonts w:asciiTheme="majorHAnsi" w:hAnsiTheme="majorHAnsi"/>
          <w:b/>
        </w:rPr>
        <w:lastRenderedPageBreak/>
        <w:t>Journey to work</w:t>
      </w:r>
    </w:p>
    <w:p w:rsidR="006302DE" w:rsidRPr="006302DE" w:rsidRDefault="006302DE" w:rsidP="006302DE">
      <w:pPr>
        <w:spacing w:after="120"/>
        <w:rPr>
          <w:rFonts w:asciiTheme="majorHAnsi" w:hAnsiTheme="majorHAnsi"/>
        </w:rPr>
      </w:pPr>
      <w:r w:rsidRPr="006302DE">
        <w:rPr>
          <w:rFonts w:asciiTheme="majorHAnsi" w:hAnsiTheme="majorHAnsi"/>
        </w:rPr>
        <w:t xml:space="preserve">In 2011, Truganina had proportionally more people travelling to work by train (13%) than Wyndham (10%). Car as driver was the top mode of transport for Truganina (64%) and Wyndham residents (66%). </w:t>
      </w:r>
    </w:p>
    <w:p w:rsidR="006302DE" w:rsidRPr="006302DE" w:rsidRDefault="006302DE" w:rsidP="006302DE">
      <w:pPr>
        <w:spacing w:after="0"/>
        <w:rPr>
          <w:rFonts w:asciiTheme="majorHAnsi" w:hAnsiTheme="majorHAnsi"/>
          <w:b/>
        </w:rPr>
      </w:pPr>
      <w:r w:rsidRPr="006302DE">
        <w:rPr>
          <w:rFonts w:asciiTheme="majorHAnsi" w:hAnsiTheme="majorHAnsi"/>
          <w:b/>
        </w:rPr>
        <w:t>Education</w:t>
      </w:r>
    </w:p>
    <w:p w:rsidR="006302DE" w:rsidRPr="006302DE" w:rsidRDefault="006302DE" w:rsidP="006302DE">
      <w:pPr>
        <w:spacing w:after="120"/>
        <w:rPr>
          <w:rFonts w:asciiTheme="majorHAnsi" w:hAnsiTheme="majorHAnsi"/>
        </w:rPr>
      </w:pPr>
      <w:r w:rsidRPr="006302DE">
        <w:rPr>
          <w:rFonts w:asciiTheme="majorHAnsi" w:hAnsiTheme="majorHAnsi"/>
        </w:rPr>
        <w:t xml:space="preserve">In 2011 a larger proportion of Truganina residents had a degree or higher qualification (22%) than Wyndham overall (19%).   </w:t>
      </w:r>
    </w:p>
    <w:p w:rsidR="006302DE" w:rsidRPr="006302DE" w:rsidRDefault="006302DE" w:rsidP="006302DE">
      <w:pPr>
        <w:spacing w:after="0"/>
        <w:rPr>
          <w:rFonts w:asciiTheme="majorHAnsi" w:hAnsiTheme="majorHAnsi"/>
          <w:b/>
        </w:rPr>
      </w:pPr>
      <w:r w:rsidRPr="006302DE">
        <w:rPr>
          <w:rFonts w:asciiTheme="majorHAnsi" w:hAnsiTheme="majorHAnsi"/>
          <w:b/>
        </w:rPr>
        <w:t xml:space="preserve">Need for assistance </w:t>
      </w:r>
    </w:p>
    <w:p w:rsidR="006302DE" w:rsidRPr="006302DE" w:rsidRDefault="006302DE" w:rsidP="006302DE">
      <w:pPr>
        <w:spacing w:after="120"/>
        <w:rPr>
          <w:rFonts w:asciiTheme="majorHAnsi" w:hAnsiTheme="majorHAnsi"/>
        </w:rPr>
      </w:pPr>
      <w:r w:rsidRPr="006302DE">
        <w:rPr>
          <w:rFonts w:asciiTheme="majorHAnsi" w:hAnsiTheme="majorHAnsi"/>
        </w:rPr>
        <w:t xml:space="preserve">Less than 2% of Truganina residents require assistance with core activities. This is less than the proportion across Wyndham (3.9%). </w:t>
      </w:r>
    </w:p>
    <w:p w:rsidR="006302DE" w:rsidRPr="006302DE" w:rsidRDefault="006302DE" w:rsidP="006302DE">
      <w:pPr>
        <w:spacing w:after="0"/>
        <w:rPr>
          <w:rFonts w:asciiTheme="majorHAnsi" w:hAnsiTheme="majorHAnsi"/>
          <w:b/>
        </w:rPr>
      </w:pPr>
      <w:r w:rsidRPr="006302DE">
        <w:rPr>
          <w:rFonts w:asciiTheme="majorHAnsi" w:hAnsiTheme="majorHAnsi"/>
          <w:b/>
        </w:rPr>
        <w:t>SEIFA Index of Relative Social Disadvantage (IRSD)</w:t>
      </w:r>
    </w:p>
    <w:p w:rsidR="006302DE" w:rsidRPr="006302DE" w:rsidRDefault="006302DE" w:rsidP="006302DE">
      <w:pPr>
        <w:spacing w:after="120"/>
        <w:rPr>
          <w:rFonts w:asciiTheme="majorHAnsi" w:hAnsiTheme="majorHAnsi"/>
        </w:rPr>
      </w:pPr>
      <w:r w:rsidRPr="006302DE">
        <w:rPr>
          <w:rFonts w:asciiTheme="majorHAnsi" w:hAnsiTheme="majorHAnsi"/>
        </w:rPr>
        <w:t>In 2011 Truganina had a SEIFA IRSD score of 1003, which is lower than the Wyndham score of 1013. This mea</w:t>
      </w:r>
      <w:bookmarkStart w:id="0" w:name="_GoBack"/>
      <w:bookmarkEnd w:id="0"/>
      <w:r w:rsidRPr="006302DE">
        <w:rPr>
          <w:rFonts w:asciiTheme="majorHAnsi" w:hAnsiTheme="majorHAnsi"/>
        </w:rPr>
        <w:t xml:space="preserve">ns it is </w:t>
      </w:r>
      <w:r w:rsidR="000B3EED">
        <w:rPr>
          <w:rFonts w:asciiTheme="majorHAnsi" w:hAnsiTheme="majorHAnsi"/>
        </w:rPr>
        <w:t xml:space="preserve">slightly </w:t>
      </w:r>
      <w:r w:rsidRPr="006302DE">
        <w:rPr>
          <w:rFonts w:asciiTheme="majorHAnsi" w:hAnsiTheme="majorHAnsi"/>
        </w:rPr>
        <w:t xml:space="preserve">more disadvantaged than the municipality overall. </w:t>
      </w:r>
    </w:p>
    <w:p w:rsidR="00F4181E" w:rsidRPr="006302DE" w:rsidRDefault="00F4181E" w:rsidP="00C723DB">
      <w:pPr>
        <w:pStyle w:val="Body01"/>
        <w:rPr>
          <w:rFonts w:asciiTheme="majorHAnsi" w:hAnsiTheme="majorHAnsi"/>
        </w:rPr>
      </w:pPr>
    </w:p>
    <w:p w:rsidR="00F4181E" w:rsidRPr="006302DE" w:rsidRDefault="00F4181E" w:rsidP="00C723DB">
      <w:pPr>
        <w:pStyle w:val="Body01"/>
        <w:rPr>
          <w:rFonts w:asciiTheme="majorHAnsi" w:hAnsiTheme="majorHAnsi"/>
        </w:rPr>
      </w:pPr>
    </w:p>
    <w:p w:rsidR="006302DE" w:rsidRPr="006302DE" w:rsidRDefault="006302DE" w:rsidP="00C723DB">
      <w:pPr>
        <w:pStyle w:val="Body01"/>
        <w:rPr>
          <w:rFonts w:asciiTheme="majorHAnsi" w:hAnsiTheme="majorHAnsi"/>
        </w:rPr>
        <w:sectPr w:rsidR="006302DE" w:rsidRPr="006302DE" w:rsidSect="006302DE">
          <w:footerReference w:type="default" r:id="rId8"/>
          <w:headerReference w:type="first" r:id="rId9"/>
          <w:type w:val="continuous"/>
          <w:pgSz w:w="11900" w:h="16840"/>
          <w:pgMar w:top="1625" w:right="851" w:bottom="851" w:left="851" w:header="510" w:footer="709" w:gutter="0"/>
          <w:cols w:space="454"/>
          <w:titlePg/>
          <w:docGrid w:linePitch="360"/>
        </w:sectPr>
      </w:pPr>
    </w:p>
    <w:p w:rsidR="00F4181E" w:rsidRPr="006302DE" w:rsidRDefault="00F4181E" w:rsidP="00C723DB">
      <w:pPr>
        <w:pStyle w:val="Body01"/>
        <w:rPr>
          <w:rFonts w:asciiTheme="majorHAnsi" w:hAnsiTheme="majorHAnsi"/>
        </w:rPr>
      </w:pPr>
    </w:p>
    <w:p w:rsidR="00F4181E" w:rsidRPr="006302DE" w:rsidRDefault="00F4181E" w:rsidP="00C723DB">
      <w:pPr>
        <w:pStyle w:val="Body01"/>
        <w:rPr>
          <w:rFonts w:asciiTheme="majorHAnsi" w:hAnsiTheme="majorHAnsi"/>
        </w:rPr>
      </w:pPr>
    </w:p>
    <w:p w:rsidR="00F4181E" w:rsidRPr="006302DE" w:rsidRDefault="00F4181E" w:rsidP="00C723DB">
      <w:pPr>
        <w:pStyle w:val="Body01"/>
        <w:rPr>
          <w:rFonts w:asciiTheme="majorHAnsi" w:hAnsiTheme="majorHAnsi"/>
        </w:rPr>
      </w:pPr>
    </w:p>
    <w:p w:rsidR="00F4181E" w:rsidRPr="006302DE" w:rsidRDefault="00F4181E" w:rsidP="00C723DB">
      <w:pPr>
        <w:pStyle w:val="Body01"/>
        <w:rPr>
          <w:rFonts w:asciiTheme="majorHAnsi" w:hAnsiTheme="majorHAnsi"/>
        </w:rPr>
      </w:pPr>
    </w:p>
    <w:p w:rsidR="00F4181E" w:rsidRDefault="00F4181E" w:rsidP="00C723DB">
      <w:pPr>
        <w:pStyle w:val="Body01"/>
      </w:pPr>
    </w:p>
    <w:p w:rsidR="00F4181E" w:rsidRDefault="00F4181E" w:rsidP="00C723DB">
      <w:pPr>
        <w:pStyle w:val="Body01"/>
      </w:pPr>
    </w:p>
    <w:p w:rsidR="00F4181E" w:rsidRDefault="00F4181E" w:rsidP="00C723DB">
      <w:pPr>
        <w:pStyle w:val="Body01"/>
      </w:pPr>
    </w:p>
    <w:p w:rsidR="00F4181E" w:rsidRDefault="00F4181E" w:rsidP="00C723DB">
      <w:pPr>
        <w:pStyle w:val="Body01"/>
      </w:pPr>
    </w:p>
    <w:p w:rsidR="00C723DB" w:rsidRPr="00C723DB" w:rsidRDefault="00C723DB" w:rsidP="00C723DB">
      <w:pPr>
        <w:pStyle w:val="Body01"/>
      </w:pPr>
      <w:r>
        <w:br w:type="page"/>
      </w:r>
      <w:r>
        <w:lastRenderedPageBreak/>
        <w:t xml:space="preserve"> </w:t>
      </w:r>
    </w:p>
    <w:sectPr w:rsidR="00C723DB" w:rsidRPr="00C723DB" w:rsidSect="00FC0DE6">
      <w:type w:val="continuous"/>
      <w:pgSz w:w="11900" w:h="16840"/>
      <w:pgMar w:top="1625" w:right="851" w:bottom="851" w:left="851" w:header="510" w:footer="709" w:gutter="0"/>
      <w:cols w:num="2" w:space="454" w:equalWidth="0">
        <w:col w:w="6653" w:space="454"/>
        <w:col w:w="309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2DE" w:rsidRDefault="006302DE" w:rsidP="00D62CF1">
      <w:r>
        <w:separator/>
      </w:r>
    </w:p>
  </w:endnote>
  <w:endnote w:type="continuationSeparator" w:id="0">
    <w:p w:rsidR="006302DE" w:rsidRDefault="006302DE" w:rsidP="00D6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DaxOT-Light">
    <w:panose1 w:val="02010504050101020104"/>
    <w:charset w:val="00"/>
    <w:family w:val="modern"/>
    <w:notTrueType/>
    <w:pitch w:val="variable"/>
    <w:sig w:usb0="800000AF" w:usb1="4000247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36F" w:rsidRPr="0034536F" w:rsidRDefault="0034536F" w:rsidP="0034536F">
    <w:pPr>
      <w:pStyle w:val="Footer"/>
      <w:pBdr>
        <w:top w:val="single" w:sz="12" w:space="1" w:color="002C55"/>
      </w:pBdr>
      <w:rPr>
        <w:rFonts w:ascii="DaxOT-Light" w:hAnsi="DaxOT-Light"/>
        <w:color w:val="002C55"/>
        <w:sz w:val="20"/>
      </w:rPr>
    </w:pPr>
    <w:r w:rsidRPr="00CF0D2B">
      <w:rPr>
        <w:rFonts w:ascii="DaxOT-Light" w:hAnsi="DaxOT-Light"/>
        <w:color w:val="002C55"/>
        <w:sz w:val="20"/>
      </w:rPr>
      <w:t>Wyndham City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2DE" w:rsidRDefault="006302DE" w:rsidP="00D62CF1">
      <w:r>
        <w:separator/>
      </w:r>
    </w:p>
  </w:footnote>
  <w:footnote w:type="continuationSeparator" w:id="0">
    <w:p w:rsidR="006302DE" w:rsidRDefault="006302DE" w:rsidP="00D62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E6" w:rsidRPr="00D62CF1" w:rsidRDefault="00FC0DE6" w:rsidP="00D62CF1">
    <w:r>
      <w:rPr>
        <w:noProof/>
        <w:lang w:eastAsia="en-AU"/>
      </w:rPr>
      <w:drawing>
        <wp:anchor distT="0" distB="0" distL="114300" distR="114300" simplePos="0" relativeHeight="251658240" behindDoc="1" locked="0" layoutInCell="1" allowOverlap="1" wp14:anchorId="2621F882" wp14:editId="00475F89">
          <wp:simplePos x="0" y="0"/>
          <wp:positionH relativeFrom="column">
            <wp:posOffset>-534670</wp:posOffset>
          </wp:positionH>
          <wp:positionV relativeFrom="paragraph">
            <wp:posOffset>-331190</wp:posOffset>
          </wp:positionV>
          <wp:extent cx="7562850" cy="3243532"/>
          <wp:effectExtent l="0" t="0" r="0" b="0"/>
          <wp:wrapNone/>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
                    <a:extLst>
                      <a:ext uri="{28A0092B-C50C-407E-A947-70E740481C1C}">
                        <a14:useLocalDpi xmlns:a14="http://schemas.microsoft.com/office/drawing/2010/main" val="0"/>
                      </a:ext>
                    </a:extLst>
                  </a:blip>
                  <a:srcRect b="69671"/>
                  <a:stretch/>
                </pic:blipFill>
                <pic:spPr bwMode="auto">
                  <a:xfrm>
                    <a:off x="0" y="0"/>
                    <a:ext cx="7562850" cy="32435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o:colormru v:ext="edit" colors="#f3f4f8"/>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DE"/>
    <w:rsid w:val="0004478A"/>
    <w:rsid w:val="00066BC8"/>
    <w:rsid w:val="000B3EED"/>
    <w:rsid w:val="000D338F"/>
    <w:rsid w:val="000E4083"/>
    <w:rsid w:val="000F5687"/>
    <w:rsid w:val="0010335E"/>
    <w:rsid w:val="00220144"/>
    <w:rsid w:val="00254715"/>
    <w:rsid w:val="0034536F"/>
    <w:rsid w:val="00386175"/>
    <w:rsid w:val="003C0E22"/>
    <w:rsid w:val="003E2167"/>
    <w:rsid w:val="004141EE"/>
    <w:rsid w:val="0041664F"/>
    <w:rsid w:val="00430DB0"/>
    <w:rsid w:val="004A31FF"/>
    <w:rsid w:val="004C6E2A"/>
    <w:rsid w:val="006302DE"/>
    <w:rsid w:val="006357F8"/>
    <w:rsid w:val="006629E8"/>
    <w:rsid w:val="00670C3A"/>
    <w:rsid w:val="006F32E8"/>
    <w:rsid w:val="007B2BEF"/>
    <w:rsid w:val="007F500D"/>
    <w:rsid w:val="007F7E71"/>
    <w:rsid w:val="00893A96"/>
    <w:rsid w:val="00951D17"/>
    <w:rsid w:val="00996DAF"/>
    <w:rsid w:val="009E295A"/>
    <w:rsid w:val="00B16F22"/>
    <w:rsid w:val="00BB6A5D"/>
    <w:rsid w:val="00BD1367"/>
    <w:rsid w:val="00C723DB"/>
    <w:rsid w:val="00D62CF1"/>
    <w:rsid w:val="00DF0D56"/>
    <w:rsid w:val="00E60950"/>
    <w:rsid w:val="00E62FDC"/>
    <w:rsid w:val="00F4110D"/>
    <w:rsid w:val="00F4181E"/>
    <w:rsid w:val="00F82156"/>
    <w:rsid w:val="00FC0D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f3f4f8"/>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MS Mincho" w:hAnsi="Helvetic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DE"/>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CF1"/>
    <w:pPr>
      <w:tabs>
        <w:tab w:val="center" w:pos="4320"/>
        <w:tab w:val="right" w:pos="8640"/>
      </w:tabs>
      <w:spacing w:after="0" w:line="240" w:lineRule="auto"/>
    </w:pPr>
    <w:rPr>
      <w:rFonts w:ascii="Helvetica" w:eastAsia="MS Mincho" w:hAnsi="Helvetica" w:cs="Times New Roman"/>
      <w:sz w:val="24"/>
      <w:szCs w:val="24"/>
      <w:lang w:val="en-US"/>
    </w:rPr>
  </w:style>
  <w:style w:type="character" w:customStyle="1" w:styleId="HeaderChar">
    <w:name w:val="Header Char"/>
    <w:basedOn w:val="DefaultParagraphFont"/>
    <w:link w:val="Header"/>
    <w:uiPriority w:val="99"/>
    <w:rsid w:val="00D62CF1"/>
  </w:style>
  <w:style w:type="paragraph" w:styleId="Footer">
    <w:name w:val="footer"/>
    <w:basedOn w:val="Normal"/>
    <w:link w:val="FooterChar"/>
    <w:uiPriority w:val="99"/>
    <w:unhideWhenUsed/>
    <w:rsid w:val="00D62CF1"/>
    <w:pPr>
      <w:tabs>
        <w:tab w:val="center" w:pos="4320"/>
        <w:tab w:val="right" w:pos="8640"/>
      </w:tabs>
      <w:spacing w:after="0" w:line="240" w:lineRule="auto"/>
    </w:pPr>
    <w:rPr>
      <w:rFonts w:ascii="Helvetica" w:eastAsia="MS Mincho" w:hAnsi="Helvetica" w:cs="Times New Roman"/>
      <w:sz w:val="24"/>
      <w:szCs w:val="24"/>
      <w:lang w:val="en-US"/>
    </w:rPr>
  </w:style>
  <w:style w:type="character" w:customStyle="1" w:styleId="FooterChar">
    <w:name w:val="Footer Char"/>
    <w:basedOn w:val="DefaultParagraphFont"/>
    <w:link w:val="Footer"/>
    <w:uiPriority w:val="99"/>
    <w:rsid w:val="00D62CF1"/>
  </w:style>
  <w:style w:type="paragraph" w:styleId="BalloonText">
    <w:name w:val="Balloon Text"/>
    <w:basedOn w:val="Normal"/>
    <w:link w:val="BalloonTextChar"/>
    <w:uiPriority w:val="99"/>
    <w:semiHidden/>
    <w:unhideWhenUsed/>
    <w:rsid w:val="00D62CF1"/>
    <w:rPr>
      <w:rFonts w:ascii="Lucida Grande" w:hAnsi="Lucida Grande" w:cs="Lucida Grande"/>
      <w:sz w:val="18"/>
      <w:szCs w:val="18"/>
    </w:rPr>
  </w:style>
  <w:style w:type="character" w:customStyle="1" w:styleId="BalloonTextChar">
    <w:name w:val="Balloon Text Char"/>
    <w:link w:val="BalloonText"/>
    <w:uiPriority w:val="99"/>
    <w:semiHidden/>
    <w:rsid w:val="00D62CF1"/>
    <w:rPr>
      <w:rFonts w:ascii="Lucida Grande" w:hAnsi="Lucida Grande" w:cs="Lucida Grande"/>
      <w:sz w:val="18"/>
      <w:szCs w:val="18"/>
    </w:rPr>
  </w:style>
  <w:style w:type="paragraph" w:customStyle="1" w:styleId="IntroPara01">
    <w:name w:val="_IntroPara01"/>
    <w:next w:val="Body01"/>
    <w:qFormat/>
    <w:rsid w:val="0010335E"/>
    <w:pPr>
      <w:spacing w:after="170"/>
    </w:pPr>
    <w:rPr>
      <w:rFonts w:ascii="Calibri" w:hAnsi="Calibri"/>
      <w:caps/>
      <w:sz w:val="28"/>
      <w:szCs w:val="28"/>
      <w:lang w:val="en-US"/>
    </w:rPr>
  </w:style>
  <w:style w:type="paragraph" w:customStyle="1" w:styleId="Header02">
    <w:name w:val="_Header02"/>
    <w:next w:val="IntroPara01"/>
    <w:qFormat/>
    <w:rsid w:val="006F32E8"/>
    <w:pPr>
      <w:spacing w:before="284" w:after="170"/>
    </w:pPr>
    <w:rPr>
      <w:rFonts w:ascii="Calibri" w:hAnsi="Calibri"/>
      <w:noProof/>
      <w:color w:val="25416B"/>
      <w:sz w:val="72"/>
      <w:szCs w:val="96"/>
      <w:lang w:val="en-US"/>
    </w:rPr>
  </w:style>
  <w:style w:type="paragraph" w:customStyle="1" w:styleId="Header03">
    <w:name w:val="_Header03"/>
    <w:next w:val="Body01"/>
    <w:qFormat/>
    <w:rsid w:val="006F32E8"/>
    <w:pPr>
      <w:spacing w:after="170"/>
    </w:pPr>
    <w:rPr>
      <w:rFonts w:ascii="Calibri" w:hAnsi="Calibri"/>
      <w:color w:val="25416B"/>
      <w:sz w:val="36"/>
      <w:szCs w:val="36"/>
      <w:lang w:val="en-GB"/>
    </w:rPr>
  </w:style>
  <w:style w:type="paragraph" w:customStyle="1" w:styleId="Header01">
    <w:name w:val="_Header01"/>
    <w:next w:val="IntroPara01"/>
    <w:qFormat/>
    <w:rsid w:val="004141EE"/>
    <w:pPr>
      <w:spacing w:after="113"/>
    </w:pPr>
    <w:rPr>
      <w:rFonts w:ascii="Calibri" w:hAnsi="Calibri"/>
      <w:color w:val="25416B"/>
      <w:sz w:val="96"/>
      <w:szCs w:val="96"/>
      <w:lang w:val="en-US"/>
    </w:rPr>
  </w:style>
  <w:style w:type="paragraph" w:customStyle="1" w:styleId="Body01">
    <w:name w:val="_Body01"/>
    <w:qFormat/>
    <w:rsid w:val="006F32E8"/>
    <w:pPr>
      <w:spacing w:after="113"/>
    </w:pPr>
    <w:rPr>
      <w:rFonts w:ascii="Calibri" w:hAnsi="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MS Mincho" w:hAnsi="Helvetic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DE"/>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CF1"/>
    <w:pPr>
      <w:tabs>
        <w:tab w:val="center" w:pos="4320"/>
        <w:tab w:val="right" w:pos="8640"/>
      </w:tabs>
      <w:spacing w:after="0" w:line="240" w:lineRule="auto"/>
    </w:pPr>
    <w:rPr>
      <w:rFonts w:ascii="Helvetica" w:eastAsia="MS Mincho" w:hAnsi="Helvetica" w:cs="Times New Roman"/>
      <w:sz w:val="24"/>
      <w:szCs w:val="24"/>
      <w:lang w:val="en-US"/>
    </w:rPr>
  </w:style>
  <w:style w:type="character" w:customStyle="1" w:styleId="HeaderChar">
    <w:name w:val="Header Char"/>
    <w:basedOn w:val="DefaultParagraphFont"/>
    <w:link w:val="Header"/>
    <w:uiPriority w:val="99"/>
    <w:rsid w:val="00D62CF1"/>
  </w:style>
  <w:style w:type="paragraph" w:styleId="Footer">
    <w:name w:val="footer"/>
    <w:basedOn w:val="Normal"/>
    <w:link w:val="FooterChar"/>
    <w:uiPriority w:val="99"/>
    <w:unhideWhenUsed/>
    <w:rsid w:val="00D62CF1"/>
    <w:pPr>
      <w:tabs>
        <w:tab w:val="center" w:pos="4320"/>
        <w:tab w:val="right" w:pos="8640"/>
      </w:tabs>
      <w:spacing w:after="0" w:line="240" w:lineRule="auto"/>
    </w:pPr>
    <w:rPr>
      <w:rFonts w:ascii="Helvetica" w:eastAsia="MS Mincho" w:hAnsi="Helvetica" w:cs="Times New Roman"/>
      <w:sz w:val="24"/>
      <w:szCs w:val="24"/>
      <w:lang w:val="en-US"/>
    </w:rPr>
  </w:style>
  <w:style w:type="character" w:customStyle="1" w:styleId="FooterChar">
    <w:name w:val="Footer Char"/>
    <w:basedOn w:val="DefaultParagraphFont"/>
    <w:link w:val="Footer"/>
    <w:uiPriority w:val="99"/>
    <w:rsid w:val="00D62CF1"/>
  </w:style>
  <w:style w:type="paragraph" w:styleId="BalloonText">
    <w:name w:val="Balloon Text"/>
    <w:basedOn w:val="Normal"/>
    <w:link w:val="BalloonTextChar"/>
    <w:uiPriority w:val="99"/>
    <w:semiHidden/>
    <w:unhideWhenUsed/>
    <w:rsid w:val="00D62CF1"/>
    <w:rPr>
      <w:rFonts w:ascii="Lucida Grande" w:hAnsi="Lucida Grande" w:cs="Lucida Grande"/>
      <w:sz w:val="18"/>
      <w:szCs w:val="18"/>
    </w:rPr>
  </w:style>
  <w:style w:type="character" w:customStyle="1" w:styleId="BalloonTextChar">
    <w:name w:val="Balloon Text Char"/>
    <w:link w:val="BalloonText"/>
    <w:uiPriority w:val="99"/>
    <w:semiHidden/>
    <w:rsid w:val="00D62CF1"/>
    <w:rPr>
      <w:rFonts w:ascii="Lucida Grande" w:hAnsi="Lucida Grande" w:cs="Lucida Grande"/>
      <w:sz w:val="18"/>
      <w:szCs w:val="18"/>
    </w:rPr>
  </w:style>
  <w:style w:type="paragraph" w:customStyle="1" w:styleId="IntroPara01">
    <w:name w:val="_IntroPara01"/>
    <w:next w:val="Body01"/>
    <w:qFormat/>
    <w:rsid w:val="0010335E"/>
    <w:pPr>
      <w:spacing w:after="170"/>
    </w:pPr>
    <w:rPr>
      <w:rFonts w:ascii="Calibri" w:hAnsi="Calibri"/>
      <w:caps/>
      <w:sz w:val="28"/>
      <w:szCs w:val="28"/>
      <w:lang w:val="en-US"/>
    </w:rPr>
  </w:style>
  <w:style w:type="paragraph" w:customStyle="1" w:styleId="Header02">
    <w:name w:val="_Header02"/>
    <w:next w:val="IntroPara01"/>
    <w:qFormat/>
    <w:rsid w:val="006F32E8"/>
    <w:pPr>
      <w:spacing w:before="284" w:after="170"/>
    </w:pPr>
    <w:rPr>
      <w:rFonts w:ascii="Calibri" w:hAnsi="Calibri"/>
      <w:noProof/>
      <w:color w:val="25416B"/>
      <w:sz w:val="72"/>
      <w:szCs w:val="96"/>
      <w:lang w:val="en-US"/>
    </w:rPr>
  </w:style>
  <w:style w:type="paragraph" w:customStyle="1" w:styleId="Header03">
    <w:name w:val="_Header03"/>
    <w:next w:val="Body01"/>
    <w:qFormat/>
    <w:rsid w:val="006F32E8"/>
    <w:pPr>
      <w:spacing w:after="170"/>
    </w:pPr>
    <w:rPr>
      <w:rFonts w:ascii="Calibri" w:hAnsi="Calibri"/>
      <w:color w:val="25416B"/>
      <w:sz w:val="36"/>
      <w:szCs w:val="36"/>
      <w:lang w:val="en-GB"/>
    </w:rPr>
  </w:style>
  <w:style w:type="paragraph" w:customStyle="1" w:styleId="Header01">
    <w:name w:val="_Header01"/>
    <w:next w:val="IntroPara01"/>
    <w:qFormat/>
    <w:rsid w:val="004141EE"/>
    <w:pPr>
      <w:spacing w:after="113"/>
    </w:pPr>
    <w:rPr>
      <w:rFonts w:ascii="Calibri" w:hAnsi="Calibri"/>
      <w:color w:val="25416B"/>
      <w:sz w:val="96"/>
      <w:szCs w:val="96"/>
      <w:lang w:val="en-US"/>
    </w:rPr>
  </w:style>
  <w:style w:type="paragraph" w:customStyle="1" w:styleId="Body01">
    <w:name w:val="_Body01"/>
    <w:qFormat/>
    <w:rsid w:val="006F32E8"/>
    <w:pPr>
      <w:spacing w:after="113"/>
    </w:pPr>
    <w:rPr>
      <w:rFonts w:ascii="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vicfile2\templates2016$\CEO's%20Office\Factsheet%20No%20Im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C7CBB-E545-46A7-97DC-8D2CD228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No Images.dotx</Template>
  <TotalTime>31</TotalTime>
  <Pages>3</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Ckaos</Company>
  <LinksUpToDate>false</LinksUpToDate>
  <CharactersWithSpaces>3002</CharactersWithSpaces>
  <SharedDoc>false</SharedDoc>
  <HLinks>
    <vt:vector size="12" baseType="variant">
      <vt:variant>
        <vt:i4>7143438</vt:i4>
      </vt:variant>
      <vt:variant>
        <vt:i4>-1</vt:i4>
      </vt:variant>
      <vt:variant>
        <vt:i4>1031</vt:i4>
      </vt:variant>
      <vt:variant>
        <vt:i4>1</vt:i4>
      </vt:variant>
      <vt:variant>
        <vt:lpwstr>IMG</vt:lpwstr>
      </vt:variant>
      <vt:variant>
        <vt:lpwstr/>
      </vt:variant>
      <vt:variant>
        <vt:i4>7143438</vt:i4>
      </vt:variant>
      <vt:variant>
        <vt:i4>-1</vt:i4>
      </vt:variant>
      <vt:variant>
        <vt:i4>1029</vt:i4>
      </vt:variant>
      <vt:variant>
        <vt:i4>1</vt:i4>
      </vt:variant>
      <vt:variant>
        <vt:lpwstr>IMG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Green</dc:creator>
  <cp:lastModifiedBy>Stephanie Green</cp:lastModifiedBy>
  <cp:revision>5</cp:revision>
  <dcterms:created xsi:type="dcterms:W3CDTF">2017-07-25T02:06:00Z</dcterms:created>
  <dcterms:modified xsi:type="dcterms:W3CDTF">2017-07-26T01:35:00Z</dcterms:modified>
</cp:coreProperties>
</file>