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6BC8" w:rsidRDefault="00430DB0" w:rsidP="00F4181E">
      <w:pPr>
        <w:pStyle w:val="Header02"/>
      </w:pPr>
      <w:r>
        <w:rPr>
          <w:lang w:val="en-AU" w:eastAsia="en-AU"/>
        </w:rPr>
        <mc:AlternateContent>
          <mc:Choice Requires="wps">
            <w:drawing>
              <wp:anchor distT="0" distB="0" distL="114300" distR="114300" simplePos="0" relativeHeight="251655680" behindDoc="0" locked="0" layoutInCell="1" allowOverlap="1" wp14:anchorId="4541069D" wp14:editId="6AA78043">
                <wp:simplePos x="0" y="0"/>
                <wp:positionH relativeFrom="column">
                  <wp:posOffset>-107315</wp:posOffset>
                </wp:positionH>
                <wp:positionV relativeFrom="page">
                  <wp:posOffset>1591310</wp:posOffset>
                </wp:positionV>
                <wp:extent cx="3959860" cy="1043940"/>
                <wp:effectExtent l="0" t="0" r="2540" b="3810"/>
                <wp:wrapThrough wrapText="bothSides">
                  <wp:wrapPolygon edited="0">
                    <wp:start x="0" y="0"/>
                    <wp:lineTo x="0" y="21285"/>
                    <wp:lineTo x="21510" y="21285"/>
                    <wp:lineTo x="2151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E6" w:rsidRPr="005500E5" w:rsidRDefault="00F902C5" w:rsidP="00066BC8">
                            <w:pPr>
                              <w:pStyle w:val="Header01"/>
                              <w:rPr>
                                <w:sz w:val="44"/>
                                <w:szCs w:val="44"/>
                              </w:rPr>
                            </w:pPr>
                            <w:r w:rsidRPr="005500E5">
                              <w:rPr>
                                <w:sz w:val="44"/>
                                <w:szCs w:val="44"/>
                              </w:rPr>
                              <w:t xml:space="preserve">Wyndham’s Chinese Community </w:t>
                            </w:r>
                            <w:r w:rsidR="00FC0DE6" w:rsidRPr="005500E5">
                              <w:rPr>
                                <w:sz w:val="44"/>
                                <w:szCs w:val="44"/>
                              </w:rPr>
                              <w:t xml:space="preserve"> </w:t>
                            </w:r>
                          </w:p>
                          <w:p w:rsidR="00FC0DE6" w:rsidRPr="00DF1843" w:rsidRDefault="005500E5" w:rsidP="000D338F">
                            <w:pPr>
                              <w:pStyle w:val="IntroPara01"/>
                            </w:pPr>
                            <w:r>
                              <w:t>July 2017 update</w:t>
                            </w:r>
                          </w:p>
                          <w:p w:rsidR="00FC0DE6" w:rsidRDefault="00FC0DE6" w:rsidP="00066BC8">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5pt;margin-top:125.3pt;width:311.8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ujrw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shWZ+h1Bk73PbiZEbahyy5T3d9J+k0jIdcNETt2o5QcGkYqYBfam/6TqxOO&#10;tiDb4aOsIAzZG+mAxlp1tnRQDATo0KXHU2csFQqbl+kiTZZwROEsDOLLNHa980k2X++VNu+Z7JA1&#10;cqyg9Q6eHO60sXRINrvYaEKWvG1d+1vxbAMcpx0IDlftmaXhuvkzDdJNskliL46WGy8OisK7Kdex&#10;tyzDq0VxWazXRfjLxg3jrOFVxYQNMysrjP+sc0eNT5o4aUvLllcWzlLSarddtwodCCi7dJ8rOpyc&#10;3fznNFwRIJcXKYVRHNxGqVcukysvLuOFl14FiReE6W26DOI0LsrnKd1xwf49JTTkOF1Ei0lNZ9Iv&#10;cgvc9zo3knXcwOxoeZfj5OREMqvBjahcaw3h7WQ/KYWlfy4FtHtutFOsFekkVzNuR0CxMt7K6hG0&#10;qyQoC1QIAw+MRqofGA0wPHKsv++JYhi1HwTo306a2VCzsZ0NIihczbHBaDLXZppI+17xXQPI0wsT&#10;8gbeSM2des8sji8LBoJL4ji87MR5+u+8ziN29RsAAP//AwBQSwMEFAAGAAgAAAAhADesrVrgAAAA&#10;CwEAAA8AAABkcnMvZG93bnJldi54bWxMj8FOwzAQRO9I/IO1SNxaOxU1NGRTVQhOSIg0HDg6sZtY&#10;jdchdtvw95gTHFfzNPO22M5uYGczBesJIVsKYIZary11CB/1y+IBWIiKtBo8GYRvE2BbXl8VKtf+&#10;QpU572PHUgmFXCH0MY4556HtjVNh6UdDKTv4yamYzqnjelKXVO4GvhJCcqcspYVejeapN+1xf3II&#10;u0+qnu3XW/NeHSpb1xtBr/KIeHsz7x6BRTPHPxh+9ZM6lMmp8SfSgQ0Ii0xuEoqwWgsJLBFSyHtg&#10;DcJdthbAy4L//6H8AQAA//8DAFBLAQItABQABgAIAAAAIQC2gziS/gAAAOEBAAATAAAAAAAAAAAA&#10;AAAAAAAAAABbQ29udGVudF9UeXBlc10ueG1sUEsBAi0AFAAGAAgAAAAhADj9If/WAAAAlAEAAAsA&#10;AAAAAAAAAAAAAAAALwEAAF9yZWxzLy5yZWxzUEsBAi0AFAAGAAgAAAAhAAfsa6OvAgAAqgUAAA4A&#10;AAAAAAAAAAAAAAAALgIAAGRycy9lMm9Eb2MueG1sUEsBAi0AFAAGAAgAAAAhADesrVrgAAAACwEA&#10;AA8AAAAAAAAAAAAAAAAACQUAAGRycy9kb3ducmV2LnhtbFBLBQYAAAAABAAEAPMAAAAWBgAAAAA=&#10;" filled="f" stroked="f">
                <v:textbox inset="0,0,0,0">
                  <w:txbxContent>
                    <w:p w:rsidR="00FC0DE6" w:rsidRPr="005500E5" w:rsidRDefault="00F902C5" w:rsidP="00066BC8">
                      <w:pPr>
                        <w:pStyle w:val="Header01"/>
                        <w:rPr>
                          <w:sz w:val="44"/>
                          <w:szCs w:val="44"/>
                        </w:rPr>
                      </w:pPr>
                      <w:r w:rsidRPr="005500E5">
                        <w:rPr>
                          <w:sz w:val="44"/>
                          <w:szCs w:val="44"/>
                        </w:rPr>
                        <w:t xml:space="preserve">Wyndham’s Chinese Community </w:t>
                      </w:r>
                      <w:r w:rsidR="00FC0DE6" w:rsidRPr="005500E5">
                        <w:rPr>
                          <w:sz w:val="44"/>
                          <w:szCs w:val="44"/>
                        </w:rPr>
                        <w:t xml:space="preserve"> </w:t>
                      </w:r>
                    </w:p>
                    <w:p w:rsidR="00FC0DE6" w:rsidRPr="00DF1843" w:rsidRDefault="005500E5" w:rsidP="000D338F">
                      <w:pPr>
                        <w:pStyle w:val="IntroPara01"/>
                      </w:pPr>
                      <w:r>
                        <w:t>July 2017 update</w:t>
                      </w:r>
                    </w:p>
                    <w:p w:rsidR="00FC0DE6" w:rsidRDefault="00FC0DE6" w:rsidP="00066BC8">
                      <w:pPr>
                        <w:pStyle w:val="Header01"/>
                      </w:pPr>
                    </w:p>
                  </w:txbxContent>
                </v:textbox>
                <w10:wrap type="through" anchory="page"/>
              </v:shape>
            </w:pict>
          </mc:Fallback>
        </mc:AlternateContent>
      </w:r>
      <w:r w:rsidR="00E62FDC">
        <w:t xml:space="preserve"> </w:t>
      </w: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5500E5" w:rsidRDefault="005500E5" w:rsidP="00F902C5">
      <w:pPr>
        <w:spacing w:after="60" w:line="300" w:lineRule="auto"/>
        <w:rPr>
          <w:rFonts w:asciiTheme="majorHAnsi" w:hAnsiTheme="majorHAnsi"/>
        </w:rPr>
      </w:pPr>
    </w:p>
    <w:p w:rsidR="00F902C5" w:rsidRPr="00F902C5" w:rsidRDefault="00F902C5" w:rsidP="00F902C5">
      <w:pPr>
        <w:spacing w:after="60" w:line="300" w:lineRule="auto"/>
        <w:rPr>
          <w:rFonts w:asciiTheme="majorHAnsi" w:hAnsiTheme="majorHAnsi"/>
        </w:rPr>
      </w:pPr>
      <w:r w:rsidRPr="00F902C5">
        <w:rPr>
          <w:rFonts w:asciiTheme="majorHAnsi" w:hAnsiTheme="majorHAnsi"/>
        </w:rPr>
        <w:t>In 2011, 2,487 people from China were residing in Wyndham. By 2016, 2.5% of the total Wyndham population were born in China, approximately 5,525 people. The Chinese community extends beyond those born in China to over 13,000 Wyndham residents who claim Chinese ancestry. At the 2016 Census, the majority of these residents were residing in Point Cook. For the purpose of this profile, the Chinese community refers only to individuals born in China unless otherwise stated.</w:t>
      </w:r>
    </w:p>
    <w:p w:rsidR="00F902C5" w:rsidRPr="00F902C5" w:rsidRDefault="00F902C5" w:rsidP="00F902C5">
      <w:pPr>
        <w:spacing w:after="60" w:line="300" w:lineRule="auto"/>
        <w:rPr>
          <w:rFonts w:asciiTheme="majorHAnsi" w:hAnsiTheme="majorHAnsi"/>
        </w:rPr>
      </w:pPr>
      <w:r w:rsidRPr="00F902C5">
        <w:rPr>
          <w:rFonts w:asciiTheme="majorHAnsi" w:hAnsiTheme="majorHAnsi"/>
          <w:noProof/>
          <w:lang w:eastAsia="en-AU"/>
        </w:rPr>
        <w:drawing>
          <wp:anchor distT="0" distB="0" distL="114300" distR="114300" simplePos="0" relativeHeight="251660288" behindDoc="0" locked="0" layoutInCell="1" allowOverlap="1" wp14:anchorId="17C39C60" wp14:editId="4652C593">
            <wp:simplePos x="0" y="0"/>
            <wp:positionH relativeFrom="column">
              <wp:posOffset>1905</wp:posOffset>
            </wp:positionH>
            <wp:positionV relativeFrom="paragraph">
              <wp:posOffset>298450</wp:posOffset>
            </wp:positionV>
            <wp:extent cx="4077970" cy="269430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F902C5">
        <w:rPr>
          <w:rFonts w:asciiTheme="majorHAnsi" w:hAnsiTheme="majorHAnsi"/>
        </w:rPr>
        <w:t>The age profile of Wyndham’s Chinese community is different to the age profile across Wyndham. Almost two thirds (64%)</w:t>
      </w:r>
      <w:r w:rsidR="000D28D8">
        <w:rPr>
          <w:rFonts w:asciiTheme="majorHAnsi" w:hAnsiTheme="majorHAnsi"/>
        </w:rPr>
        <w:t xml:space="preserve"> of the Chinese community</w:t>
      </w:r>
      <w:r w:rsidRPr="00F902C5">
        <w:rPr>
          <w:rFonts w:asciiTheme="majorHAnsi" w:hAnsiTheme="majorHAnsi"/>
        </w:rPr>
        <w:t xml:space="preserve"> </w:t>
      </w:r>
      <w:r w:rsidR="00472A22">
        <w:rPr>
          <w:rFonts w:asciiTheme="majorHAnsi" w:hAnsiTheme="majorHAnsi"/>
        </w:rPr>
        <w:t>are</w:t>
      </w:r>
      <w:r w:rsidRPr="00F902C5">
        <w:rPr>
          <w:rFonts w:asciiTheme="majorHAnsi" w:hAnsiTheme="majorHAnsi"/>
        </w:rPr>
        <w:t xml:space="preserve"> under the age of 40 and almost half aged between 25 and 39 years. </w:t>
      </w:r>
      <w:r w:rsidR="007104EE">
        <w:rPr>
          <w:rFonts w:asciiTheme="majorHAnsi" w:hAnsiTheme="majorHAnsi"/>
        </w:rPr>
        <w:t>Across Wyndham,</w:t>
      </w:r>
      <w:r w:rsidRPr="00F902C5">
        <w:rPr>
          <w:rFonts w:asciiTheme="majorHAnsi" w:hAnsiTheme="majorHAnsi"/>
        </w:rPr>
        <w:t xml:space="preserve"> less than 30% of the total population</w:t>
      </w:r>
      <w:r w:rsidR="007104EE">
        <w:rPr>
          <w:rFonts w:asciiTheme="majorHAnsi" w:hAnsiTheme="majorHAnsi"/>
        </w:rPr>
        <w:t xml:space="preserve"> </w:t>
      </w:r>
      <w:r w:rsidR="00472A22">
        <w:rPr>
          <w:rFonts w:asciiTheme="majorHAnsi" w:hAnsiTheme="majorHAnsi"/>
        </w:rPr>
        <w:t>are</w:t>
      </w:r>
      <w:r w:rsidR="007104EE">
        <w:rPr>
          <w:rFonts w:asciiTheme="majorHAnsi" w:hAnsiTheme="majorHAnsi"/>
        </w:rPr>
        <w:t xml:space="preserve"> aged 25 to 39. </w:t>
      </w:r>
      <w:r w:rsidRPr="00F902C5">
        <w:rPr>
          <w:rFonts w:asciiTheme="majorHAnsi" w:hAnsiTheme="majorHAnsi"/>
        </w:rPr>
        <w:t xml:space="preserve"> </w:t>
      </w:r>
      <w:r w:rsidR="007104EE">
        <w:rPr>
          <w:rFonts w:asciiTheme="majorHAnsi" w:hAnsiTheme="majorHAnsi"/>
        </w:rPr>
        <w:t xml:space="preserve">There are also proportionally fewer </w:t>
      </w:r>
      <w:r w:rsidR="00472A22">
        <w:rPr>
          <w:rFonts w:asciiTheme="majorHAnsi" w:hAnsiTheme="majorHAnsi"/>
        </w:rPr>
        <w:t>children</w:t>
      </w:r>
      <w:r w:rsidR="00B84A7D">
        <w:rPr>
          <w:rFonts w:asciiTheme="majorHAnsi" w:hAnsiTheme="majorHAnsi"/>
        </w:rPr>
        <w:t xml:space="preserve"> (0 to 9 years)</w:t>
      </w:r>
      <w:r w:rsidR="00472A22">
        <w:rPr>
          <w:rFonts w:asciiTheme="majorHAnsi" w:hAnsiTheme="majorHAnsi"/>
        </w:rPr>
        <w:t xml:space="preserve"> in the Chinese community (3%)</w:t>
      </w:r>
      <w:r w:rsidR="00B84A7D">
        <w:rPr>
          <w:rFonts w:asciiTheme="majorHAnsi" w:hAnsiTheme="majorHAnsi"/>
        </w:rPr>
        <w:t xml:space="preserve">, compared to </w:t>
      </w:r>
      <w:r w:rsidR="00472A22">
        <w:rPr>
          <w:rFonts w:asciiTheme="majorHAnsi" w:hAnsiTheme="majorHAnsi"/>
        </w:rPr>
        <w:t xml:space="preserve">all </w:t>
      </w:r>
      <w:r w:rsidR="00B84A7D">
        <w:rPr>
          <w:rFonts w:asciiTheme="majorHAnsi" w:hAnsiTheme="majorHAnsi"/>
        </w:rPr>
        <w:t>children Wyndham wide (18%)</w:t>
      </w:r>
      <w:r w:rsidR="007104EE">
        <w:rPr>
          <w:rFonts w:asciiTheme="majorHAnsi" w:hAnsiTheme="majorHAnsi"/>
        </w:rPr>
        <w:t xml:space="preserve">. </w:t>
      </w:r>
    </w:p>
    <w:p w:rsidR="00F902C5" w:rsidRPr="00F902C5" w:rsidRDefault="00F902C5" w:rsidP="00F902C5">
      <w:pPr>
        <w:spacing w:after="60" w:line="300" w:lineRule="auto"/>
        <w:rPr>
          <w:rFonts w:asciiTheme="majorHAnsi" w:hAnsiTheme="majorHAnsi"/>
        </w:rPr>
      </w:pPr>
      <w:r w:rsidRPr="00F902C5">
        <w:rPr>
          <w:rFonts w:asciiTheme="majorHAnsi" w:hAnsiTheme="majorHAnsi"/>
        </w:rPr>
        <w:t>Interestingly, the</w:t>
      </w:r>
      <w:r w:rsidR="00F60758">
        <w:rPr>
          <w:rFonts w:asciiTheme="majorHAnsi" w:hAnsiTheme="majorHAnsi"/>
        </w:rPr>
        <w:t>re</w:t>
      </w:r>
      <w:r w:rsidR="001C797E">
        <w:rPr>
          <w:rFonts w:asciiTheme="majorHAnsi" w:hAnsiTheme="majorHAnsi"/>
        </w:rPr>
        <w:t xml:space="preserve"> </w:t>
      </w:r>
      <w:r w:rsidR="00E212B4">
        <w:rPr>
          <w:rFonts w:asciiTheme="majorHAnsi" w:hAnsiTheme="majorHAnsi"/>
        </w:rPr>
        <w:t>are</w:t>
      </w:r>
      <w:r w:rsidR="00F60758">
        <w:rPr>
          <w:rFonts w:asciiTheme="majorHAnsi" w:hAnsiTheme="majorHAnsi"/>
        </w:rPr>
        <w:t xml:space="preserve"> a large proportion of young </w:t>
      </w:r>
      <w:r w:rsidR="00F50567">
        <w:rPr>
          <w:rFonts w:asciiTheme="majorHAnsi" w:hAnsiTheme="majorHAnsi"/>
        </w:rPr>
        <w:t>children with Chinese ancestry.</w:t>
      </w:r>
      <w:r w:rsidR="00E212B4">
        <w:rPr>
          <w:rFonts w:asciiTheme="majorHAnsi" w:hAnsiTheme="majorHAnsi"/>
        </w:rPr>
        <w:t xml:space="preserve"> </w:t>
      </w:r>
      <w:r w:rsidR="00F50567">
        <w:rPr>
          <w:rFonts w:asciiTheme="majorHAnsi" w:hAnsiTheme="majorHAnsi"/>
        </w:rPr>
        <w:t>It</w:t>
      </w:r>
      <w:r w:rsidR="00F60758">
        <w:rPr>
          <w:rFonts w:asciiTheme="majorHAnsi" w:hAnsiTheme="majorHAnsi"/>
        </w:rPr>
        <w:t xml:space="preserve"> would be r</w:t>
      </w:r>
      <w:r w:rsidRPr="00F902C5">
        <w:rPr>
          <w:rFonts w:asciiTheme="majorHAnsi" w:hAnsiTheme="majorHAnsi"/>
        </w:rPr>
        <w:t xml:space="preserve">easonable to conclude that many of </w:t>
      </w:r>
      <w:r w:rsidR="00F92B2C">
        <w:rPr>
          <w:rFonts w:asciiTheme="majorHAnsi" w:hAnsiTheme="majorHAnsi"/>
        </w:rPr>
        <w:t xml:space="preserve">these </w:t>
      </w:r>
      <w:r w:rsidRPr="00F902C5">
        <w:rPr>
          <w:rFonts w:asciiTheme="majorHAnsi" w:hAnsiTheme="majorHAnsi"/>
        </w:rPr>
        <w:t>young children</w:t>
      </w:r>
      <w:r w:rsidR="00472A22">
        <w:rPr>
          <w:rFonts w:asciiTheme="majorHAnsi" w:hAnsiTheme="majorHAnsi"/>
        </w:rPr>
        <w:t xml:space="preserve"> </w:t>
      </w:r>
      <w:r w:rsidR="00F50567">
        <w:rPr>
          <w:rFonts w:asciiTheme="majorHAnsi" w:hAnsiTheme="majorHAnsi"/>
        </w:rPr>
        <w:t>are</w:t>
      </w:r>
      <w:r w:rsidRPr="00F902C5">
        <w:rPr>
          <w:rFonts w:asciiTheme="majorHAnsi" w:hAnsiTheme="majorHAnsi"/>
        </w:rPr>
        <w:t xml:space="preserve"> first generation Australians born to Chinese </w:t>
      </w:r>
      <w:r w:rsidR="00CD3E13">
        <w:rPr>
          <w:rFonts w:asciiTheme="majorHAnsi" w:hAnsiTheme="majorHAnsi"/>
        </w:rPr>
        <w:t>immigrants in</w:t>
      </w:r>
      <w:r w:rsidR="00F92B2C">
        <w:rPr>
          <w:rFonts w:asciiTheme="majorHAnsi" w:hAnsiTheme="majorHAnsi"/>
        </w:rPr>
        <w:t xml:space="preserve"> the 30 to 34 year age range</w:t>
      </w:r>
      <w:r w:rsidRPr="00F902C5">
        <w:rPr>
          <w:rFonts w:asciiTheme="majorHAnsi" w:hAnsiTheme="majorHAnsi"/>
        </w:rPr>
        <w:t xml:space="preserve">. </w:t>
      </w:r>
    </w:p>
    <w:p w:rsidR="00B84A7D" w:rsidRDefault="00E212B4" w:rsidP="00F902C5">
      <w:pPr>
        <w:spacing w:after="60" w:line="300" w:lineRule="auto"/>
        <w:rPr>
          <w:rFonts w:asciiTheme="majorHAnsi" w:hAnsiTheme="majorHAnsi"/>
        </w:rPr>
      </w:pPr>
      <w:r>
        <w:rPr>
          <w:noProof/>
          <w:lang w:eastAsia="en-AU"/>
        </w:rPr>
        <w:drawing>
          <wp:anchor distT="0" distB="0" distL="114300" distR="114300" simplePos="0" relativeHeight="251661312" behindDoc="0" locked="0" layoutInCell="1" allowOverlap="1" wp14:anchorId="7144BA10" wp14:editId="74A2E355">
            <wp:simplePos x="0" y="0"/>
            <wp:positionH relativeFrom="column">
              <wp:posOffset>2886075</wp:posOffset>
            </wp:positionH>
            <wp:positionV relativeFrom="paragraph">
              <wp:posOffset>282575</wp:posOffset>
            </wp:positionV>
            <wp:extent cx="3577590" cy="214630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F902C5" w:rsidRPr="00F902C5">
        <w:rPr>
          <w:rFonts w:asciiTheme="majorHAnsi" w:hAnsiTheme="majorHAnsi"/>
        </w:rPr>
        <w:t xml:space="preserve">In 2016, there were 10,068 Wyndham residents speaking Chinese at home (includes Mandarin, Cantonese, Hakka, Mandarin, Wu and Min Nan). This figure is almost double the size of the Chinese community and is therefore likely to include children with Chinese ancestry. English speaking proficiency is low amongst </w:t>
      </w:r>
      <w:r w:rsidR="00B84A7D">
        <w:rPr>
          <w:rFonts w:asciiTheme="majorHAnsi" w:hAnsiTheme="majorHAnsi"/>
        </w:rPr>
        <w:t xml:space="preserve">the </w:t>
      </w:r>
      <w:r w:rsidR="00F902C5" w:rsidRPr="00F902C5">
        <w:rPr>
          <w:rFonts w:asciiTheme="majorHAnsi" w:hAnsiTheme="majorHAnsi"/>
        </w:rPr>
        <w:t>Chinese</w:t>
      </w:r>
      <w:r w:rsidR="00B84A7D">
        <w:rPr>
          <w:rFonts w:asciiTheme="majorHAnsi" w:hAnsiTheme="majorHAnsi"/>
        </w:rPr>
        <w:t xml:space="preserve"> community, </w:t>
      </w:r>
      <w:r w:rsidR="00F902C5" w:rsidRPr="00F902C5">
        <w:rPr>
          <w:rFonts w:asciiTheme="majorHAnsi" w:hAnsiTheme="majorHAnsi"/>
        </w:rPr>
        <w:t xml:space="preserve">with a large proportion not able to speak English well or at all (32%). </w:t>
      </w:r>
      <w:r w:rsidR="00F902C5">
        <w:rPr>
          <w:rFonts w:asciiTheme="majorHAnsi" w:hAnsiTheme="majorHAnsi"/>
        </w:rPr>
        <w:t xml:space="preserve"> </w:t>
      </w:r>
    </w:p>
    <w:p w:rsidR="00F902C5" w:rsidRPr="00F902C5" w:rsidRDefault="00F902C5" w:rsidP="00F902C5">
      <w:pPr>
        <w:spacing w:after="60" w:line="300" w:lineRule="auto"/>
        <w:rPr>
          <w:rFonts w:asciiTheme="majorHAnsi" w:hAnsiTheme="majorHAnsi"/>
        </w:rPr>
      </w:pPr>
      <w:r w:rsidRPr="00F902C5">
        <w:rPr>
          <w:rFonts w:asciiTheme="majorHAnsi" w:hAnsiTheme="majorHAnsi"/>
        </w:rPr>
        <w:t xml:space="preserve">Religiosity amongst the Chinese community is low. At the 2016 Census, 77% of </w:t>
      </w:r>
      <w:r w:rsidR="00B84A7D">
        <w:rPr>
          <w:rFonts w:asciiTheme="majorHAnsi" w:hAnsiTheme="majorHAnsi"/>
        </w:rPr>
        <w:t>the Chinese community r</w:t>
      </w:r>
      <w:r w:rsidRPr="00F902C5">
        <w:rPr>
          <w:rFonts w:asciiTheme="majorHAnsi" w:hAnsiTheme="majorHAnsi"/>
        </w:rPr>
        <w:t xml:space="preserve">eported no religion, up from 70% at the 2011 Census. Of those who did report a </w:t>
      </w:r>
      <w:r w:rsidRPr="00F902C5">
        <w:rPr>
          <w:rFonts w:asciiTheme="majorHAnsi" w:hAnsiTheme="majorHAnsi"/>
        </w:rPr>
        <w:lastRenderedPageBreak/>
        <w:t>religion, Buddhism (10%) and Christianity (9%) were the most popular.</w:t>
      </w:r>
    </w:p>
    <w:p w:rsidR="00F902C5" w:rsidRDefault="00F902C5" w:rsidP="00E212B4">
      <w:pPr>
        <w:spacing w:after="120" w:line="300" w:lineRule="auto"/>
        <w:rPr>
          <w:rFonts w:asciiTheme="majorHAnsi" w:hAnsiTheme="majorHAnsi"/>
        </w:rPr>
      </w:pPr>
      <w:r w:rsidRPr="00F902C5">
        <w:rPr>
          <w:rFonts w:asciiTheme="majorHAnsi" w:hAnsiTheme="majorHAnsi"/>
        </w:rPr>
        <w:t>In 2011, half the Chinese community aged 15 years or older had a Bachelor or higher degree (Masters, PhD).  Thus a largely educated population has been immigrating to Australia and residing in Wyndham.  Education level is reflected in employment types, where a large proportion of residents work in professional and managerial positions (16% and 9% respectively) compared to labour or machinery trades (5% and 2% respectively).</w:t>
      </w:r>
      <w:r w:rsidRPr="00F902C5">
        <w:rPr>
          <w:rStyle w:val="EndnoteReference"/>
          <w:rFonts w:asciiTheme="majorHAnsi" w:hAnsiTheme="majorHAnsi"/>
        </w:rPr>
        <w:endnoteReference w:id="1"/>
      </w: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Pr="00E212B4" w:rsidRDefault="00E212B4" w:rsidP="00E212B4">
      <w:pPr>
        <w:spacing w:after="120" w:line="300" w:lineRule="auto"/>
        <w:rPr>
          <w:rFonts w:asciiTheme="majorHAnsi" w:hAnsiTheme="majorHAnsi"/>
        </w:rPr>
      </w:pPr>
    </w:p>
    <w:sectPr w:rsidR="00E212B4" w:rsidRPr="00E212B4" w:rsidSect="00F902C5">
      <w:footerReference w:type="default" r:id="rId10"/>
      <w:headerReference w:type="first" r:id="rId11"/>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0B5" w:rsidRDefault="007010B5" w:rsidP="00D62CF1">
      <w:r>
        <w:separator/>
      </w:r>
    </w:p>
  </w:endnote>
  <w:endnote w:type="continuationSeparator" w:id="0">
    <w:p w:rsidR="007010B5" w:rsidRDefault="007010B5" w:rsidP="00D62CF1">
      <w:r>
        <w:continuationSeparator/>
      </w:r>
    </w:p>
  </w:endnote>
  <w:endnote w:id="1">
    <w:p w:rsidR="00F902C5" w:rsidRPr="0005774D" w:rsidRDefault="00F902C5" w:rsidP="00F902C5">
      <w:pPr>
        <w:pStyle w:val="EndnoteText"/>
        <w:rPr>
          <w:rFonts w:asciiTheme="majorHAnsi" w:hAnsiTheme="majorHAnsi"/>
        </w:rPr>
      </w:pPr>
      <w:r w:rsidRPr="0005774D">
        <w:rPr>
          <w:rStyle w:val="EndnoteReference"/>
          <w:rFonts w:asciiTheme="majorHAnsi" w:hAnsiTheme="majorHAnsi"/>
        </w:rPr>
        <w:endnoteRef/>
      </w:r>
      <w:r w:rsidRPr="0005774D">
        <w:rPr>
          <w:rFonts w:asciiTheme="majorHAnsi" w:hAnsiTheme="majorHAnsi"/>
        </w:rPr>
        <w:t xml:space="preserve"> Demographic data sources for this profile are the Australian Bureau of Statistics. (2011 and 2016). Census of Population and Housing and Profile.id : </w:t>
      </w:r>
      <w:hyperlink r:id="rId1" w:history="1">
        <w:r w:rsidRPr="0005774D">
          <w:rPr>
            <w:rStyle w:val="Hyperlink"/>
            <w:rFonts w:asciiTheme="majorHAnsi" w:hAnsiTheme="majorHAnsi"/>
          </w:rPr>
          <w:t>Profile ID</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axOT-Light">
    <w:panose1 w:val="0201050405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0B5" w:rsidRDefault="007010B5" w:rsidP="00D62CF1">
      <w:r>
        <w:separator/>
      </w:r>
    </w:p>
  </w:footnote>
  <w:footnote w:type="continuationSeparator" w:id="0">
    <w:p w:rsidR="007010B5" w:rsidRDefault="007010B5" w:rsidP="00D6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6" w:rsidRPr="00D62CF1" w:rsidRDefault="00FC0DE6" w:rsidP="00D62CF1">
    <w:r>
      <w:rPr>
        <w:noProof/>
        <w:lang w:eastAsia="en-AU"/>
      </w:rPr>
      <w:drawing>
        <wp:anchor distT="0" distB="0" distL="114300" distR="114300" simplePos="0" relativeHeight="251658240" behindDoc="1" locked="0" layoutInCell="1" allowOverlap="1" wp14:anchorId="6029FFA1" wp14:editId="4640A319">
          <wp:simplePos x="0" y="0"/>
          <wp:positionH relativeFrom="column">
            <wp:posOffset>-540385</wp:posOffset>
          </wp:positionH>
          <wp:positionV relativeFrom="paragraph">
            <wp:posOffset>-331801</wp:posOffset>
          </wp:positionV>
          <wp:extent cx="7561690" cy="2965836"/>
          <wp:effectExtent l="0" t="0" r="1270" b="635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29662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C5"/>
    <w:rsid w:val="0004478A"/>
    <w:rsid w:val="0005774D"/>
    <w:rsid w:val="00066BC8"/>
    <w:rsid w:val="000D28D8"/>
    <w:rsid w:val="000D338F"/>
    <w:rsid w:val="000E4083"/>
    <w:rsid w:val="000F5687"/>
    <w:rsid w:val="0010335E"/>
    <w:rsid w:val="001C797E"/>
    <w:rsid w:val="00220144"/>
    <w:rsid w:val="00254715"/>
    <w:rsid w:val="0034536F"/>
    <w:rsid w:val="00386175"/>
    <w:rsid w:val="003A1123"/>
    <w:rsid w:val="003C0E22"/>
    <w:rsid w:val="003E2167"/>
    <w:rsid w:val="004141EE"/>
    <w:rsid w:val="0041664F"/>
    <w:rsid w:val="00430DB0"/>
    <w:rsid w:val="00472A22"/>
    <w:rsid w:val="004A31FF"/>
    <w:rsid w:val="004C3CC6"/>
    <w:rsid w:val="005500E5"/>
    <w:rsid w:val="006357F8"/>
    <w:rsid w:val="00670C3A"/>
    <w:rsid w:val="006F32E8"/>
    <w:rsid w:val="007010B5"/>
    <w:rsid w:val="007104EE"/>
    <w:rsid w:val="007B2BEF"/>
    <w:rsid w:val="007F500D"/>
    <w:rsid w:val="007F7E71"/>
    <w:rsid w:val="00850377"/>
    <w:rsid w:val="00893A96"/>
    <w:rsid w:val="008A621B"/>
    <w:rsid w:val="00951D17"/>
    <w:rsid w:val="00996DAF"/>
    <w:rsid w:val="009E295A"/>
    <w:rsid w:val="00A76492"/>
    <w:rsid w:val="00B16F22"/>
    <w:rsid w:val="00B213B1"/>
    <w:rsid w:val="00B84A7D"/>
    <w:rsid w:val="00B8668F"/>
    <w:rsid w:val="00BB6A5D"/>
    <w:rsid w:val="00BD1367"/>
    <w:rsid w:val="00C31FFC"/>
    <w:rsid w:val="00C57ED5"/>
    <w:rsid w:val="00C723DB"/>
    <w:rsid w:val="00CD3E13"/>
    <w:rsid w:val="00D62CF1"/>
    <w:rsid w:val="00D73D4B"/>
    <w:rsid w:val="00DF0D56"/>
    <w:rsid w:val="00E212B4"/>
    <w:rsid w:val="00E60950"/>
    <w:rsid w:val="00E62FDC"/>
    <w:rsid w:val="00F4181E"/>
    <w:rsid w:val="00F50567"/>
    <w:rsid w:val="00F60758"/>
    <w:rsid w:val="00F82156"/>
    <w:rsid w:val="00F902C5"/>
    <w:rsid w:val="00F92B2C"/>
    <w:rsid w:val="00FC0D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C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styleId="Hyperlink">
    <w:name w:val="Hyperlink"/>
    <w:basedOn w:val="DefaultParagraphFont"/>
    <w:uiPriority w:val="99"/>
    <w:unhideWhenUsed/>
    <w:rsid w:val="00F902C5"/>
    <w:rPr>
      <w:color w:val="0000FF" w:themeColor="hyperlink"/>
      <w:u w:val="single"/>
    </w:rPr>
  </w:style>
  <w:style w:type="paragraph" w:styleId="EndnoteText">
    <w:name w:val="endnote text"/>
    <w:basedOn w:val="Normal"/>
    <w:link w:val="EndnoteTextChar"/>
    <w:uiPriority w:val="99"/>
    <w:semiHidden/>
    <w:unhideWhenUsed/>
    <w:rsid w:val="00F902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02C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F902C5"/>
    <w:rPr>
      <w:vertAlign w:val="superscript"/>
    </w:rPr>
  </w:style>
  <w:style w:type="character" w:styleId="CommentReference">
    <w:name w:val="annotation reference"/>
    <w:basedOn w:val="DefaultParagraphFont"/>
    <w:uiPriority w:val="99"/>
    <w:semiHidden/>
    <w:unhideWhenUsed/>
    <w:rsid w:val="001C797E"/>
    <w:rPr>
      <w:sz w:val="16"/>
      <w:szCs w:val="16"/>
    </w:rPr>
  </w:style>
  <w:style w:type="paragraph" w:styleId="CommentText">
    <w:name w:val="annotation text"/>
    <w:basedOn w:val="Normal"/>
    <w:link w:val="CommentTextChar"/>
    <w:uiPriority w:val="99"/>
    <w:semiHidden/>
    <w:unhideWhenUsed/>
    <w:rsid w:val="001C797E"/>
    <w:pPr>
      <w:spacing w:line="240" w:lineRule="auto"/>
    </w:pPr>
    <w:rPr>
      <w:sz w:val="20"/>
      <w:szCs w:val="20"/>
    </w:rPr>
  </w:style>
  <w:style w:type="character" w:customStyle="1" w:styleId="CommentTextChar">
    <w:name w:val="Comment Text Char"/>
    <w:basedOn w:val="DefaultParagraphFont"/>
    <w:link w:val="CommentText"/>
    <w:uiPriority w:val="99"/>
    <w:semiHidden/>
    <w:rsid w:val="001C797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C797E"/>
    <w:rPr>
      <w:b/>
      <w:bCs/>
    </w:rPr>
  </w:style>
  <w:style w:type="character" w:customStyle="1" w:styleId="CommentSubjectChar">
    <w:name w:val="Comment Subject Char"/>
    <w:basedOn w:val="CommentTextChar"/>
    <w:link w:val="CommentSubject"/>
    <w:uiPriority w:val="99"/>
    <w:semiHidden/>
    <w:rsid w:val="001C797E"/>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C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styleId="Hyperlink">
    <w:name w:val="Hyperlink"/>
    <w:basedOn w:val="DefaultParagraphFont"/>
    <w:uiPriority w:val="99"/>
    <w:unhideWhenUsed/>
    <w:rsid w:val="00F902C5"/>
    <w:rPr>
      <w:color w:val="0000FF" w:themeColor="hyperlink"/>
      <w:u w:val="single"/>
    </w:rPr>
  </w:style>
  <w:style w:type="paragraph" w:styleId="EndnoteText">
    <w:name w:val="endnote text"/>
    <w:basedOn w:val="Normal"/>
    <w:link w:val="EndnoteTextChar"/>
    <w:uiPriority w:val="99"/>
    <w:semiHidden/>
    <w:unhideWhenUsed/>
    <w:rsid w:val="00F902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02C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F902C5"/>
    <w:rPr>
      <w:vertAlign w:val="superscript"/>
    </w:rPr>
  </w:style>
  <w:style w:type="character" w:styleId="CommentReference">
    <w:name w:val="annotation reference"/>
    <w:basedOn w:val="DefaultParagraphFont"/>
    <w:uiPriority w:val="99"/>
    <w:semiHidden/>
    <w:unhideWhenUsed/>
    <w:rsid w:val="001C797E"/>
    <w:rPr>
      <w:sz w:val="16"/>
      <w:szCs w:val="16"/>
    </w:rPr>
  </w:style>
  <w:style w:type="paragraph" w:styleId="CommentText">
    <w:name w:val="annotation text"/>
    <w:basedOn w:val="Normal"/>
    <w:link w:val="CommentTextChar"/>
    <w:uiPriority w:val="99"/>
    <w:semiHidden/>
    <w:unhideWhenUsed/>
    <w:rsid w:val="001C797E"/>
    <w:pPr>
      <w:spacing w:line="240" w:lineRule="auto"/>
    </w:pPr>
    <w:rPr>
      <w:sz w:val="20"/>
      <w:szCs w:val="20"/>
    </w:rPr>
  </w:style>
  <w:style w:type="character" w:customStyle="1" w:styleId="CommentTextChar">
    <w:name w:val="Comment Text Char"/>
    <w:basedOn w:val="DefaultParagraphFont"/>
    <w:link w:val="CommentText"/>
    <w:uiPriority w:val="99"/>
    <w:semiHidden/>
    <w:rsid w:val="001C797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C797E"/>
    <w:rPr>
      <w:b/>
      <w:bCs/>
    </w:rPr>
  </w:style>
  <w:style w:type="character" w:customStyle="1" w:styleId="CommentSubjectChar">
    <w:name w:val="Comment Subject Char"/>
    <w:basedOn w:val="CommentTextChar"/>
    <w:link w:val="CommentSubject"/>
    <w:uiPriority w:val="99"/>
    <w:semiHidden/>
    <w:rsid w:val="001C797E"/>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endnotes.xml.rels><?xml version="1.0" encoding="UTF-8" standalone="yes"?>
<Relationships xmlns="http://schemas.openxmlformats.org/package/2006/relationships"><Relationship Id="rId1" Type="http://schemas.openxmlformats.org/officeDocument/2006/relationships/hyperlink" Target="http://profile.id.com.au/wyndh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No%20Imag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green\objcache\sgreen\Objects\WinTalk\f1abd3f9-f47f-4000-9290-f2141ba2832e\Communities%20of%20interest%20-%20CALD%20data%20working%20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green\objcache\sgreen\Objects\Communities%20of%20interest%20-%20CALD%20data%20working%20sheet%20(A174119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94685039370078"/>
          <c:y val="5.1400554097404488E-2"/>
          <c:w val="0.8399282589676289"/>
          <c:h val="0.57761920384951881"/>
        </c:manualLayout>
      </c:layout>
      <c:barChart>
        <c:barDir val="col"/>
        <c:grouping val="clustered"/>
        <c:varyColors val="0"/>
        <c:ser>
          <c:idx val="0"/>
          <c:order val="0"/>
          <c:tx>
            <c:strRef>
              <c:f>Chinese!$B$32</c:f>
              <c:strCache>
                <c:ptCount val="1"/>
                <c:pt idx="0">
                  <c:v>China (excludes SARs and Taiwan)</c:v>
                </c:pt>
              </c:strCache>
            </c:strRef>
          </c:tx>
          <c:spPr>
            <a:solidFill>
              <a:schemeClr val="accent1"/>
            </a:solidFill>
          </c:spPr>
          <c:invertIfNegative val="0"/>
          <c:cat>
            <c:strRef>
              <c:f>Chinese!$A$34:$A$47</c:f>
              <c:strCache>
                <c:ptCount val="14"/>
                <c:pt idx="0">
                  <c:v>0-4 years</c:v>
                </c:pt>
                <c:pt idx="1">
                  <c:v>5-9 years</c:v>
                </c:pt>
                <c:pt idx="2">
                  <c:v>10-14 years</c:v>
                </c:pt>
                <c:pt idx="3">
                  <c:v>15-19 years</c:v>
                </c:pt>
                <c:pt idx="4">
                  <c:v>20-24 years</c:v>
                </c:pt>
                <c:pt idx="5">
                  <c:v>25-29 years</c:v>
                </c:pt>
                <c:pt idx="6">
                  <c:v>30-34 years</c:v>
                </c:pt>
                <c:pt idx="7">
                  <c:v>35-39 years</c:v>
                </c:pt>
                <c:pt idx="8">
                  <c:v>40-44 years</c:v>
                </c:pt>
                <c:pt idx="9">
                  <c:v>45-49 years</c:v>
                </c:pt>
                <c:pt idx="10">
                  <c:v>50-54 years</c:v>
                </c:pt>
                <c:pt idx="11">
                  <c:v>55-59 years</c:v>
                </c:pt>
                <c:pt idx="12">
                  <c:v>60-64 years</c:v>
                </c:pt>
                <c:pt idx="13">
                  <c:v>65 +</c:v>
                </c:pt>
              </c:strCache>
            </c:strRef>
          </c:cat>
          <c:val>
            <c:numRef>
              <c:f>Chinese!$C$34:$C$47</c:f>
              <c:numCache>
                <c:formatCode>0.0#%</c:formatCode>
                <c:ptCount val="14"/>
                <c:pt idx="0">
                  <c:v>1.3393664999999999E-2</c:v>
                </c:pt>
                <c:pt idx="1">
                  <c:v>1.9728506999999999E-2</c:v>
                </c:pt>
                <c:pt idx="2">
                  <c:v>2.6063348E-2</c:v>
                </c:pt>
                <c:pt idx="3">
                  <c:v>4.3438914000000002E-2</c:v>
                </c:pt>
                <c:pt idx="4">
                  <c:v>4.4343890999999996E-2</c:v>
                </c:pt>
                <c:pt idx="5">
                  <c:v>0.137375566</c:v>
                </c:pt>
                <c:pt idx="6">
                  <c:v>0.226968326</c:v>
                </c:pt>
                <c:pt idx="7">
                  <c:v>0.127782805</c:v>
                </c:pt>
                <c:pt idx="8">
                  <c:v>6.9683257999999998E-2</c:v>
                </c:pt>
                <c:pt idx="9">
                  <c:v>6.1538462000000002E-2</c:v>
                </c:pt>
                <c:pt idx="10">
                  <c:v>5.7918551999999998E-2</c:v>
                </c:pt>
                <c:pt idx="11">
                  <c:v>5.5384615000000005E-2</c:v>
                </c:pt>
                <c:pt idx="12">
                  <c:v>6.7330317000000001E-2</c:v>
                </c:pt>
                <c:pt idx="13">
                  <c:v>4.7600000000000003E-2</c:v>
                </c:pt>
              </c:numCache>
            </c:numRef>
          </c:val>
        </c:ser>
        <c:ser>
          <c:idx val="1"/>
          <c:order val="1"/>
          <c:tx>
            <c:strRef>
              <c:f>Chinese!$D$32</c:f>
              <c:strCache>
                <c:ptCount val="1"/>
                <c:pt idx="0">
                  <c:v>Wyndham total pop</c:v>
                </c:pt>
              </c:strCache>
            </c:strRef>
          </c:tx>
          <c:spPr>
            <a:solidFill>
              <a:srgbClr val="00B0F0"/>
            </a:solidFill>
            <a:ln>
              <a:solidFill>
                <a:schemeClr val="tx2">
                  <a:lumMod val="60000"/>
                  <a:lumOff val="40000"/>
                </a:schemeClr>
              </a:solidFill>
            </a:ln>
          </c:spPr>
          <c:invertIfNegative val="0"/>
          <c:cat>
            <c:strRef>
              <c:f>Chinese!$A$34:$A$47</c:f>
              <c:strCache>
                <c:ptCount val="14"/>
                <c:pt idx="0">
                  <c:v>0-4 years</c:v>
                </c:pt>
                <c:pt idx="1">
                  <c:v>5-9 years</c:v>
                </c:pt>
                <c:pt idx="2">
                  <c:v>10-14 years</c:v>
                </c:pt>
                <c:pt idx="3">
                  <c:v>15-19 years</c:v>
                </c:pt>
                <c:pt idx="4">
                  <c:v>20-24 years</c:v>
                </c:pt>
                <c:pt idx="5">
                  <c:v>25-29 years</c:v>
                </c:pt>
                <c:pt idx="6">
                  <c:v>30-34 years</c:v>
                </c:pt>
                <c:pt idx="7">
                  <c:v>35-39 years</c:v>
                </c:pt>
                <c:pt idx="8">
                  <c:v>40-44 years</c:v>
                </c:pt>
                <c:pt idx="9">
                  <c:v>45-49 years</c:v>
                </c:pt>
                <c:pt idx="10">
                  <c:v>50-54 years</c:v>
                </c:pt>
                <c:pt idx="11">
                  <c:v>55-59 years</c:v>
                </c:pt>
                <c:pt idx="12">
                  <c:v>60-64 years</c:v>
                </c:pt>
                <c:pt idx="13">
                  <c:v>65 +</c:v>
                </c:pt>
              </c:strCache>
            </c:strRef>
          </c:cat>
          <c:val>
            <c:numRef>
              <c:f>Chinese!$E$34:$E$47</c:f>
              <c:numCache>
                <c:formatCode>0.0#%</c:formatCode>
                <c:ptCount val="14"/>
                <c:pt idx="0">
                  <c:v>9.8476405000000003E-2</c:v>
                </c:pt>
                <c:pt idx="1">
                  <c:v>8.472811999999999E-2</c:v>
                </c:pt>
                <c:pt idx="2">
                  <c:v>6.4610028E-2</c:v>
                </c:pt>
                <c:pt idx="3">
                  <c:v>5.8663952000000005E-2</c:v>
                </c:pt>
                <c:pt idx="4">
                  <c:v>6.1597841000000007E-2</c:v>
                </c:pt>
                <c:pt idx="5">
                  <c:v>8.026050400000001E-2</c:v>
                </c:pt>
                <c:pt idx="6">
                  <c:v>0.10807947800000001</c:v>
                </c:pt>
                <c:pt idx="7">
                  <c:v>9.4345011000000006E-2</c:v>
                </c:pt>
                <c:pt idx="8">
                  <c:v>7.4319034000000006E-2</c:v>
                </c:pt>
                <c:pt idx="9">
                  <c:v>6.3205261999999998E-2</c:v>
                </c:pt>
                <c:pt idx="10">
                  <c:v>5.3883142000000002E-2</c:v>
                </c:pt>
                <c:pt idx="11">
                  <c:v>4.5320977999999998E-2</c:v>
                </c:pt>
                <c:pt idx="12">
                  <c:v>3.7237815E-2</c:v>
                </c:pt>
                <c:pt idx="13">
                  <c:v>7.5300000000000006E-2</c:v>
                </c:pt>
              </c:numCache>
            </c:numRef>
          </c:val>
        </c:ser>
        <c:ser>
          <c:idx val="2"/>
          <c:order val="2"/>
          <c:tx>
            <c:strRef>
              <c:f>Chinese!$F$32</c:f>
              <c:strCache>
                <c:ptCount val="1"/>
                <c:pt idx="0">
                  <c:v>Chinese Ancestry </c:v>
                </c:pt>
              </c:strCache>
            </c:strRef>
          </c:tx>
          <c:spPr>
            <a:solidFill>
              <a:schemeClr val="tx2"/>
            </a:solidFill>
          </c:spPr>
          <c:invertIfNegative val="0"/>
          <c:cat>
            <c:strRef>
              <c:f>Chinese!$A$34:$A$47</c:f>
              <c:strCache>
                <c:ptCount val="14"/>
                <c:pt idx="0">
                  <c:v>0-4 years</c:v>
                </c:pt>
                <c:pt idx="1">
                  <c:v>5-9 years</c:v>
                </c:pt>
                <c:pt idx="2">
                  <c:v>10-14 years</c:v>
                </c:pt>
                <c:pt idx="3">
                  <c:v>15-19 years</c:v>
                </c:pt>
                <c:pt idx="4">
                  <c:v>20-24 years</c:v>
                </c:pt>
                <c:pt idx="5">
                  <c:v>25-29 years</c:v>
                </c:pt>
                <c:pt idx="6">
                  <c:v>30-34 years</c:v>
                </c:pt>
                <c:pt idx="7">
                  <c:v>35-39 years</c:v>
                </c:pt>
                <c:pt idx="8">
                  <c:v>40-44 years</c:v>
                </c:pt>
                <c:pt idx="9">
                  <c:v>45-49 years</c:v>
                </c:pt>
                <c:pt idx="10">
                  <c:v>50-54 years</c:v>
                </c:pt>
                <c:pt idx="11">
                  <c:v>55-59 years</c:v>
                </c:pt>
                <c:pt idx="12">
                  <c:v>60-64 years</c:v>
                </c:pt>
                <c:pt idx="13">
                  <c:v>65 +</c:v>
                </c:pt>
              </c:strCache>
            </c:strRef>
          </c:cat>
          <c:val>
            <c:numRef>
              <c:f>Chinese!$F$34:$F$47</c:f>
              <c:numCache>
                <c:formatCode>0.0#%</c:formatCode>
                <c:ptCount val="14"/>
                <c:pt idx="0">
                  <c:v>0.12201027099999999</c:v>
                </c:pt>
                <c:pt idx="1">
                  <c:v>7.2120323E-2</c:v>
                </c:pt>
                <c:pt idx="2">
                  <c:v>4.4827586000000003E-2</c:v>
                </c:pt>
                <c:pt idx="3">
                  <c:v>4.5561261999999998E-2</c:v>
                </c:pt>
                <c:pt idx="4">
                  <c:v>4.9082904999999996E-2</c:v>
                </c:pt>
                <c:pt idx="5">
                  <c:v>9.3837124000000008E-2</c:v>
                </c:pt>
                <c:pt idx="6">
                  <c:v>0.15590609</c:v>
                </c:pt>
                <c:pt idx="7">
                  <c:v>0.116214233</c:v>
                </c:pt>
                <c:pt idx="8">
                  <c:v>7.0286134E-2</c:v>
                </c:pt>
                <c:pt idx="9">
                  <c:v>5.4292002999999998E-2</c:v>
                </c:pt>
                <c:pt idx="10">
                  <c:v>4.5487894000000001E-2</c:v>
                </c:pt>
                <c:pt idx="11">
                  <c:v>4.5634629000000003E-2</c:v>
                </c:pt>
                <c:pt idx="12">
                  <c:v>4.5047689000000002E-2</c:v>
                </c:pt>
                <c:pt idx="13">
                  <c:v>3.9300000000000002E-2</c:v>
                </c:pt>
              </c:numCache>
            </c:numRef>
          </c:val>
        </c:ser>
        <c:dLbls>
          <c:showLegendKey val="0"/>
          <c:showVal val="0"/>
          <c:showCatName val="0"/>
          <c:showSerName val="0"/>
          <c:showPercent val="0"/>
          <c:showBubbleSize val="0"/>
        </c:dLbls>
        <c:gapWidth val="150"/>
        <c:axId val="240145920"/>
        <c:axId val="240147456"/>
      </c:barChart>
      <c:catAx>
        <c:axId val="240145920"/>
        <c:scaling>
          <c:orientation val="minMax"/>
        </c:scaling>
        <c:delete val="0"/>
        <c:axPos val="b"/>
        <c:majorTickMark val="out"/>
        <c:minorTickMark val="none"/>
        <c:tickLblPos val="nextTo"/>
        <c:crossAx val="240147456"/>
        <c:crosses val="autoZero"/>
        <c:auto val="1"/>
        <c:lblAlgn val="ctr"/>
        <c:lblOffset val="100"/>
        <c:noMultiLvlLbl val="0"/>
      </c:catAx>
      <c:valAx>
        <c:axId val="240147456"/>
        <c:scaling>
          <c:orientation val="minMax"/>
        </c:scaling>
        <c:delete val="0"/>
        <c:axPos val="l"/>
        <c:majorGridlines/>
        <c:numFmt formatCode="0.0#%" sourceLinked="1"/>
        <c:majorTickMark val="out"/>
        <c:minorTickMark val="none"/>
        <c:tickLblPos val="nextTo"/>
        <c:crossAx val="240145920"/>
        <c:crosses val="autoZero"/>
        <c:crossBetween val="between"/>
      </c:valAx>
    </c:plotArea>
    <c:legend>
      <c:legendPos val="r"/>
      <c:layout>
        <c:manualLayout>
          <c:xMode val="edge"/>
          <c:yMode val="edge"/>
          <c:x val="0"/>
          <c:y val="0.83373826813744645"/>
          <c:w val="1"/>
          <c:h val="0.13925166326599314"/>
        </c:manualLayout>
      </c:layout>
      <c:overlay val="0"/>
      <c:txPr>
        <a:bodyPr/>
        <a:lstStyle/>
        <a:p>
          <a:pPr>
            <a:defRPr sz="800"/>
          </a:pPr>
          <a:endParaRPr lang="en-US"/>
        </a:p>
      </c:txPr>
    </c:legend>
    <c:plotVisOnly val="1"/>
    <c:dispBlanksAs val="gap"/>
    <c:showDLblsOverMax val="0"/>
  </c:chart>
  <c:spPr>
    <a:ln>
      <a:noFill/>
    </a:ln>
  </c:spPr>
  <c:txPr>
    <a:bodyPr/>
    <a:lstStyle/>
    <a:p>
      <a:pPr>
        <a:defRPr>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English Speaking Proficiency</a:t>
            </a:r>
          </a:p>
        </c:rich>
      </c:tx>
      <c:layout/>
      <c:overlay val="0"/>
    </c:title>
    <c:autoTitleDeleted val="0"/>
    <c:plotArea>
      <c:layout/>
      <c:pieChart>
        <c:varyColors val="1"/>
        <c:ser>
          <c:idx val="0"/>
          <c:order val="0"/>
          <c:dLbls>
            <c:numFmt formatCode="0.0%" sourceLinked="0"/>
            <c:showLegendKey val="0"/>
            <c:showVal val="0"/>
            <c:showCatName val="0"/>
            <c:showSerName val="0"/>
            <c:showPercent val="1"/>
            <c:showBubbleSize val="0"/>
            <c:showLeaderLines val="1"/>
          </c:dLbls>
          <c:cat>
            <c:strRef>
              <c:f>Chinese!$D$55:$D$59</c:f>
              <c:strCache>
                <c:ptCount val="5"/>
                <c:pt idx="0">
                  <c:v>Very well</c:v>
                </c:pt>
                <c:pt idx="1">
                  <c:v>Well</c:v>
                </c:pt>
                <c:pt idx="2">
                  <c:v>Not well</c:v>
                </c:pt>
                <c:pt idx="3">
                  <c:v>Not at all</c:v>
                </c:pt>
                <c:pt idx="4">
                  <c:v>Not stated/not applicable</c:v>
                </c:pt>
              </c:strCache>
            </c:strRef>
          </c:cat>
          <c:val>
            <c:numRef>
              <c:f>Chinese!$E$55:$E$59</c:f>
              <c:numCache>
                <c:formatCode>0.0#%</c:formatCode>
                <c:ptCount val="5"/>
                <c:pt idx="0">
                  <c:v>0.25918552</c:v>
                </c:pt>
                <c:pt idx="1">
                  <c:v>0.39529411799999997</c:v>
                </c:pt>
                <c:pt idx="2">
                  <c:v>0.21755656099999998</c:v>
                </c:pt>
                <c:pt idx="3">
                  <c:v>0.10714932100000001</c:v>
                </c:pt>
                <c:pt idx="4" formatCode="0.00%">
                  <c:v>2.1399999999999999E-2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567457422454781"/>
          <c:y val="0.21297814844150398"/>
          <c:w val="0.32195500322843029"/>
          <c:h val="0.71398406560126726"/>
        </c:manualLayout>
      </c:layout>
      <c:overlay val="0"/>
    </c:legend>
    <c:plotVisOnly val="1"/>
    <c:dispBlanksAs val="gap"/>
    <c:showDLblsOverMax val="0"/>
  </c:chart>
  <c:spPr>
    <a:ln>
      <a:noFill/>
    </a:ln>
  </c:spPr>
  <c:txPr>
    <a:bodyPr/>
    <a:lstStyle/>
    <a:p>
      <a:pPr>
        <a:defRPr sz="1000">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CBF5B-D53F-4B9F-A067-AD75E092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Images.dotx</Template>
  <TotalTime>11</TotalTime>
  <Pages>2</Pages>
  <Words>337</Words>
  <Characters>1926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2259</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2</cp:revision>
  <dcterms:created xsi:type="dcterms:W3CDTF">2017-07-26T00:04:00Z</dcterms:created>
  <dcterms:modified xsi:type="dcterms:W3CDTF">2017-07-26T00:04:00Z</dcterms:modified>
</cp:coreProperties>
</file>