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095860676"/>
        <w:docPartObj>
          <w:docPartGallery w:val="Cover Pages"/>
          <w:docPartUnique/>
        </w:docPartObj>
      </w:sdtPr>
      <w:sdtEndPr/>
      <w:sdtContent>
        <w:p w:rsidR="009E4461" w:rsidRDefault="009E4461"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6644DA5B" wp14:editId="7A79C5E6">
                <wp:simplePos x="0" y="0"/>
                <wp:positionH relativeFrom="column">
                  <wp:posOffset>-925033</wp:posOffset>
                </wp:positionH>
                <wp:positionV relativeFrom="paragraph">
                  <wp:posOffset>-924730</wp:posOffset>
                </wp:positionV>
                <wp:extent cx="7583349" cy="10722445"/>
                <wp:effectExtent l="0" t="0" r="0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ty Life - Cov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3349" cy="1072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E4461" w:rsidRDefault="009E4461"/>
        <w:p w:rsidR="009E4461" w:rsidRDefault="009E4461"/>
        <w:p w:rsidR="009E4461" w:rsidRDefault="009E4461">
          <w:r w:rsidRPr="009E4461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A94E84" wp14:editId="3935F6AB">
                    <wp:simplePos x="0" y="0"/>
                    <wp:positionH relativeFrom="column">
                      <wp:posOffset>-495773</wp:posOffset>
                    </wp:positionH>
                    <wp:positionV relativeFrom="paragraph">
                      <wp:posOffset>6943090</wp:posOffset>
                    </wp:positionV>
                    <wp:extent cx="4331335" cy="1403985"/>
                    <wp:effectExtent l="0" t="0" r="0" b="31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3133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4973" w:rsidRPr="002D26EB" w:rsidRDefault="00DC4973" w:rsidP="009E4461">
                                <w:pPr>
                                  <w:spacing w:after="0" w:line="240" w:lineRule="auto"/>
                                  <w:rPr>
                                    <w:rFonts w:ascii="DaxOT-Regular" w:hAnsi="DaxOT-Regular"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axOT-Regular" w:hAnsi="DaxOT-Regular"/>
                                    <w:color w:val="002060"/>
                                    <w:sz w:val="44"/>
                                    <w:szCs w:val="44"/>
                                  </w:rPr>
                                  <w:t>July 2017 Update</w:t>
                                </w:r>
                              </w:p>
                              <w:p w:rsidR="00DC4973" w:rsidRPr="003C2A03" w:rsidRDefault="00DC4973" w:rsidP="009E4461">
                                <w:pPr>
                                  <w:jc w:val="both"/>
                                  <w:rPr>
                                    <w:rFonts w:ascii="DaxOT-Regular" w:hAnsi="DaxOT-Regula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9.05pt;margin-top:546.7pt;width:341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" filled="f" stroked="f">
                    <v:textbox style="mso-fit-shape-to-text:t">
                      <w:txbxContent>
                        <w:p w:rsidR="00B46330" w:rsidRPr="002D26EB" w:rsidRDefault="00B46330" w:rsidP="009E4461">
                          <w:pPr>
                            <w:spacing w:after="0" w:line="240" w:lineRule="auto"/>
                            <w:rPr>
                              <w:rFonts w:ascii="DaxOT-Regular" w:hAnsi="DaxOT-Regular"/>
                              <w:color w:val="00206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axOT-Regular" w:hAnsi="DaxOT-Regular"/>
                              <w:color w:val="002060"/>
                              <w:sz w:val="44"/>
                              <w:szCs w:val="44"/>
                            </w:rPr>
                            <w:t>July 2017 Update</w:t>
                          </w:r>
                        </w:p>
                        <w:p w:rsidR="00B46330" w:rsidRPr="003C2A03" w:rsidRDefault="00B46330" w:rsidP="009E4461">
                          <w:pPr>
                            <w:jc w:val="both"/>
                            <w:rPr>
                              <w:rFonts w:ascii="DaxOT-Regular" w:hAnsi="DaxOT-Regula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9E4461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2C132D" wp14:editId="22E87A52">
                    <wp:simplePos x="0" y="0"/>
                    <wp:positionH relativeFrom="column">
                      <wp:posOffset>-517525</wp:posOffset>
                    </wp:positionH>
                    <wp:positionV relativeFrom="paragraph">
                      <wp:posOffset>5718175</wp:posOffset>
                    </wp:positionV>
                    <wp:extent cx="6256020" cy="123888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56020" cy="1238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4973" w:rsidRPr="00B46330" w:rsidRDefault="00DC4973" w:rsidP="009E4461">
                                <w:pPr>
                                  <w:pStyle w:val="Footer"/>
                                  <w:rPr>
                                    <w:rFonts w:ascii="Calibri Light" w:eastAsiaTheme="majorEastAsia" w:hAnsi="Calibri Light" w:cstheme="majorBidi"/>
                                    <w:b/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Calibri Light" w:eastAsiaTheme="majorEastAsia" w:hAnsi="Calibri Light" w:cstheme="majorBidi"/>
                                    <w:b/>
                                    <w:color w:val="002060"/>
                                    <w:sz w:val="64"/>
                                    <w:szCs w:val="64"/>
                                  </w:rPr>
                                  <w:t>Aboriginal and Torres Strait Islander</w:t>
                                </w:r>
                                <w:r w:rsidRPr="00B46330">
                                  <w:rPr>
                                    <w:rFonts w:ascii="Calibri Light" w:eastAsiaTheme="majorEastAsia" w:hAnsi="Calibri Light" w:cstheme="majorBidi"/>
                                    <w:b/>
                                    <w:color w:val="002060"/>
                                    <w:sz w:val="64"/>
                                    <w:szCs w:val="64"/>
                                  </w:rPr>
                                  <w:t xml:space="preserve"> Population Data Wyndham</w:t>
                                </w:r>
                              </w:p>
                              <w:p w:rsidR="00DC4973" w:rsidRPr="003C2A03" w:rsidRDefault="00DC4973" w:rsidP="009E4461">
                                <w:pPr>
                                  <w:rPr>
                                    <w:rFonts w:ascii="DaxOT-Medium" w:hAnsi="DaxOT-Medium"/>
                                    <w:color w:val="7030A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40.75pt;margin-top:450.25pt;width:492.6pt;height:9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" filled="f" stroked="f">
                    <v:textbox>
                      <w:txbxContent>
                        <w:p w:rsidR="00B46330" w:rsidRPr="00B46330" w:rsidRDefault="00B46330" w:rsidP="009E4461">
                          <w:pPr>
                            <w:pStyle w:val="Footer"/>
                            <w:rPr>
                              <w:rFonts w:ascii="Calibri Light" w:eastAsiaTheme="majorEastAsia" w:hAnsi="Calibri Light" w:cstheme="majorBidi"/>
                              <w:b/>
                              <w:color w:val="002060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alibri Light" w:eastAsiaTheme="majorEastAsia" w:hAnsi="Calibri Light" w:cstheme="majorBidi"/>
                              <w:b/>
                              <w:color w:val="002060"/>
                              <w:sz w:val="64"/>
                              <w:szCs w:val="64"/>
                            </w:rPr>
                            <w:t xml:space="preserve">Aboriginal and </w:t>
                          </w:r>
                          <w:r w:rsidR="006332C4">
                            <w:rPr>
                              <w:rFonts w:ascii="Calibri Light" w:eastAsiaTheme="majorEastAsia" w:hAnsi="Calibri Light" w:cstheme="majorBidi"/>
                              <w:b/>
                              <w:color w:val="002060"/>
                              <w:sz w:val="64"/>
                              <w:szCs w:val="64"/>
                            </w:rPr>
                            <w:t>Torres</w:t>
                          </w:r>
                          <w:r>
                            <w:rPr>
                              <w:rFonts w:ascii="Calibri Light" w:eastAsiaTheme="majorEastAsia" w:hAnsi="Calibri Light" w:cstheme="majorBidi"/>
                              <w:b/>
                              <w:color w:val="002060"/>
                              <w:sz w:val="64"/>
                              <w:szCs w:val="64"/>
                            </w:rPr>
                            <w:t xml:space="preserve"> Strait Islander</w:t>
                          </w:r>
                          <w:r w:rsidRPr="00B46330">
                            <w:rPr>
                              <w:rFonts w:ascii="Calibri Light" w:eastAsiaTheme="majorEastAsia" w:hAnsi="Calibri Light" w:cstheme="majorBidi"/>
                              <w:b/>
                              <w:color w:val="002060"/>
                              <w:sz w:val="64"/>
                              <w:szCs w:val="64"/>
                            </w:rPr>
                            <w:t xml:space="preserve"> Population Data Wyndham</w:t>
                          </w:r>
                        </w:p>
                        <w:p w:rsidR="00B46330" w:rsidRPr="003C2A03" w:rsidRDefault="00B46330" w:rsidP="009E4461">
                          <w:pPr>
                            <w:rPr>
                              <w:rFonts w:ascii="DaxOT-Medium" w:hAnsi="DaxOT-Medium"/>
                              <w:color w:val="7030A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:rsidR="002628A8" w:rsidRDefault="002628A8" w:rsidP="002628A8">
      <w:r>
        <w:lastRenderedPageBreak/>
        <w:t>Data on migration, employment and place of work will not be available until October 2017. The most recently availa</w:t>
      </w:r>
      <w:r w:rsidR="00DC4973">
        <w:t>ble data, for 2011, is used</w:t>
      </w:r>
      <w:r>
        <w:t xml:space="preserve"> in this update wherever 2016 Census data is not available.</w:t>
      </w:r>
    </w:p>
    <w:p w:rsidR="002628A8" w:rsidRDefault="002628A8" w:rsidP="002628A8">
      <w:pPr>
        <w:pStyle w:val="Heading2"/>
      </w:pPr>
      <w:r>
        <w:t>Population</w:t>
      </w:r>
    </w:p>
    <w:p w:rsidR="002628A8" w:rsidRDefault="002628A8" w:rsidP="002628A8">
      <w:r w:rsidRPr="00143B06">
        <w:t>Wyndham ha</w:t>
      </w:r>
      <w:r w:rsidR="006332C4">
        <w:t>s</w:t>
      </w:r>
      <w:r w:rsidRPr="00143B06">
        <w:t xml:space="preserve"> a larger proportion of the population identifying as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143B06">
        <w:t xml:space="preserve"> (0.</w:t>
      </w:r>
      <w:r>
        <w:t>80</w:t>
      </w:r>
      <w:r w:rsidRPr="00143B06">
        <w:t>%) than G</w:t>
      </w:r>
      <w:r>
        <w:t>reater Melbourne (0.54%) in 2016 (Table 1)</w:t>
      </w:r>
      <w:r w:rsidRPr="00143B06">
        <w:t>.</w:t>
      </w:r>
    </w:p>
    <w:p w:rsidR="002628A8" w:rsidRDefault="002628A8" w:rsidP="002628A8">
      <w:pPr>
        <w:pStyle w:val="Caption"/>
        <w:keepNext/>
      </w:pPr>
      <w:r>
        <w:t xml:space="preserve">Table </w:t>
      </w:r>
      <w:r w:rsidR="00C2533F">
        <w:fldChar w:fldCharType="begin"/>
      </w:r>
      <w:r w:rsidR="00C2533F">
        <w:instrText xml:space="preserve"> SEQ Table \* ARABIC </w:instrText>
      </w:r>
      <w:r w:rsidR="00C2533F">
        <w:fldChar w:fldCharType="separate"/>
      </w:r>
      <w:r w:rsidR="006A0E61">
        <w:rPr>
          <w:noProof/>
        </w:rPr>
        <w:t>1</w:t>
      </w:r>
      <w:r w:rsidR="00C2533F">
        <w:rPr>
          <w:noProof/>
        </w:rPr>
        <w:fldChar w:fldCharType="end"/>
      </w:r>
      <w:r>
        <w:t xml:space="preserve">: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="0028167E">
        <w:t xml:space="preserve"> and N</w:t>
      </w:r>
      <w:r>
        <w:t>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 in Wyndham and Greater Melbourne</w:t>
      </w:r>
      <w:r w:rsidR="00BC06D9">
        <w:t>, 2016</w:t>
      </w:r>
    </w:p>
    <w:tbl>
      <w:tblPr>
        <w:tblStyle w:val="TableGrid"/>
        <w:tblW w:w="6804" w:type="dxa"/>
        <w:tblLook w:val="04A0" w:firstRow="1" w:lastRow="0" w:firstColumn="1" w:lastColumn="0" w:noHBand="0" w:noVBand="1"/>
      </w:tblPr>
      <w:tblGrid>
        <w:gridCol w:w="1668"/>
        <w:gridCol w:w="1284"/>
        <w:gridCol w:w="1284"/>
        <w:gridCol w:w="1284"/>
        <w:gridCol w:w="1284"/>
      </w:tblGrid>
      <w:tr w:rsidR="002628A8" w:rsidRPr="00965C80" w:rsidTr="003C2BFE">
        <w:tc>
          <w:tcPr>
            <w:tcW w:w="1668" w:type="dxa"/>
          </w:tcPr>
          <w:p w:rsidR="002628A8" w:rsidRPr="00965C80" w:rsidRDefault="002628A8" w:rsidP="003C2BFE">
            <w:pPr>
              <w:rPr>
                <w:sz w:val="20"/>
              </w:rPr>
            </w:pPr>
          </w:p>
        </w:tc>
        <w:tc>
          <w:tcPr>
            <w:tcW w:w="2568" w:type="dxa"/>
            <w:gridSpan w:val="2"/>
          </w:tcPr>
          <w:p w:rsidR="002628A8" w:rsidRPr="00965C80" w:rsidRDefault="002628A8" w:rsidP="003C2BFE">
            <w:pPr>
              <w:jc w:val="center"/>
              <w:rPr>
                <w:b/>
                <w:sz w:val="20"/>
              </w:rPr>
            </w:pPr>
            <w:r w:rsidRPr="00965C80">
              <w:rPr>
                <w:b/>
                <w:sz w:val="20"/>
              </w:rPr>
              <w:t>Wyndham</w:t>
            </w:r>
          </w:p>
        </w:tc>
        <w:tc>
          <w:tcPr>
            <w:tcW w:w="2568" w:type="dxa"/>
            <w:gridSpan w:val="2"/>
          </w:tcPr>
          <w:p w:rsidR="002628A8" w:rsidRPr="00965C80" w:rsidRDefault="002628A8" w:rsidP="003C2BFE">
            <w:pPr>
              <w:jc w:val="center"/>
              <w:rPr>
                <w:b/>
                <w:sz w:val="20"/>
              </w:rPr>
            </w:pPr>
            <w:r w:rsidRPr="00965C80">
              <w:rPr>
                <w:b/>
                <w:sz w:val="20"/>
              </w:rPr>
              <w:t>Greater Melbourne</w:t>
            </w:r>
          </w:p>
        </w:tc>
      </w:tr>
      <w:tr w:rsidR="002628A8" w:rsidRPr="00055627" w:rsidTr="003C2BFE">
        <w:tc>
          <w:tcPr>
            <w:tcW w:w="1668" w:type="dxa"/>
          </w:tcPr>
          <w:p w:rsidR="002628A8" w:rsidRPr="00055627" w:rsidRDefault="002628A8" w:rsidP="003C2BFE">
            <w:pPr>
              <w:rPr>
                <w:i/>
                <w:sz w:val="20"/>
              </w:rPr>
            </w:pPr>
          </w:p>
        </w:tc>
        <w:tc>
          <w:tcPr>
            <w:tcW w:w="1284" w:type="dxa"/>
          </w:tcPr>
          <w:p w:rsidR="002628A8" w:rsidRPr="00055627" w:rsidRDefault="002628A8" w:rsidP="003C2BFE">
            <w:pPr>
              <w:rPr>
                <w:i/>
                <w:sz w:val="20"/>
              </w:rPr>
            </w:pPr>
            <w:r w:rsidRPr="00055627">
              <w:rPr>
                <w:i/>
                <w:sz w:val="20"/>
              </w:rPr>
              <w:t>Number</w:t>
            </w:r>
          </w:p>
        </w:tc>
        <w:tc>
          <w:tcPr>
            <w:tcW w:w="1284" w:type="dxa"/>
          </w:tcPr>
          <w:p w:rsidR="002628A8" w:rsidRPr="00055627" w:rsidRDefault="002628A8" w:rsidP="003C2BFE">
            <w:pPr>
              <w:rPr>
                <w:i/>
                <w:sz w:val="20"/>
              </w:rPr>
            </w:pPr>
            <w:r w:rsidRPr="00055627">
              <w:rPr>
                <w:i/>
                <w:sz w:val="20"/>
              </w:rPr>
              <w:t>Percentage</w:t>
            </w:r>
          </w:p>
        </w:tc>
        <w:tc>
          <w:tcPr>
            <w:tcW w:w="1284" w:type="dxa"/>
          </w:tcPr>
          <w:p w:rsidR="002628A8" w:rsidRPr="00055627" w:rsidRDefault="002628A8" w:rsidP="003C2BFE">
            <w:pPr>
              <w:rPr>
                <w:i/>
                <w:sz w:val="20"/>
              </w:rPr>
            </w:pPr>
            <w:r w:rsidRPr="00055627">
              <w:rPr>
                <w:i/>
                <w:sz w:val="20"/>
              </w:rPr>
              <w:t>Number</w:t>
            </w:r>
          </w:p>
        </w:tc>
        <w:tc>
          <w:tcPr>
            <w:tcW w:w="1284" w:type="dxa"/>
          </w:tcPr>
          <w:p w:rsidR="002628A8" w:rsidRPr="00055627" w:rsidRDefault="002628A8" w:rsidP="003C2BFE">
            <w:pPr>
              <w:rPr>
                <w:i/>
                <w:sz w:val="20"/>
              </w:rPr>
            </w:pPr>
            <w:r w:rsidRPr="00055627">
              <w:rPr>
                <w:i/>
                <w:sz w:val="20"/>
              </w:rPr>
              <w:t>Percentage</w:t>
            </w:r>
          </w:p>
        </w:tc>
      </w:tr>
      <w:tr w:rsidR="002628A8" w:rsidRPr="00965C80" w:rsidTr="003C2BFE">
        <w:tc>
          <w:tcPr>
            <w:tcW w:w="1668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Non-</w:t>
            </w:r>
            <w:r w:rsidR="00B46330">
              <w:rPr>
                <w:sz w:val="20"/>
              </w:rPr>
              <w:t xml:space="preserve">Aboriginal and </w:t>
            </w:r>
            <w:r w:rsidR="006332C4">
              <w:rPr>
                <w:sz w:val="20"/>
              </w:rPr>
              <w:t>Torres</w:t>
            </w:r>
            <w:r w:rsidR="00B46330">
              <w:rPr>
                <w:sz w:val="20"/>
              </w:rPr>
              <w:t xml:space="preserve"> Strait Islander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204,554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94.21%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4,215,757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94.00%</w:t>
            </w:r>
          </w:p>
        </w:tc>
      </w:tr>
      <w:tr w:rsidR="002628A8" w:rsidRPr="00965C80" w:rsidTr="003C2BFE">
        <w:tc>
          <w:tcPr>
            <w:tcW w:w="1668" w:type="dxa"/>
          </w:tcPr>
          <w:p w:rsidR="002628A8" w:rsidRPr="00965C80" w:rsidRDefault="00B46330" w:rsidP="003C2BFE">
            <w:pPr>
              <w:rPr>
                <w:sz w:val="20"/>
              </w:rPr>
            </w:pPr>
            <w:r>
              <w:rPr>
                <w:sz w:val="20"/>
              </w:rPr>
              <w:t xml:space="preserve">Aboriginal and </w:t>
            </w:r>
            <w:r w:rsidR="006332C4">
              <w:rPr>
                <w:sz w:val="20"/>
              </w:rPr>
              <w:t>Torres</w:t>
            </w:r>
            <w:r>
              <w:rPr>
                <w:sz w:val="20"/>
              </w:rPr>
              <w:t xml:space="preserve"> Strait Islander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1,733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0.80%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24,058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0.54%</w:t>
            </w:r>
          </w:p>
        </w:tc>
      </w:tr>
      <w:tr w:rsidR="002628A8" w:rsidRPr="00965C80" w:rsidTr="003C2BFE">
        <w:tc>
          <w:tcPr>
            <w:tcW w:w="1668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Not stated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10,827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4.99%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245,385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5.47%</w:t>
            </w:r>
          </w:p>
        </w:tc>
      </w:tr>
      <w:tr w:rsidR="002628A8" w:rsidRPr="00965C80" w:rsidTr="003C2BFE">
        <w:tc>
          <w:tcPr>
            <w:tcW w:w="1668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Total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217,118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100.00%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4,485,210</w:t>
            </w:r>
          </w:p>
        </w:tc>
        <w:tc>
          <w:tcPr>
            <w:tcW w:w="1284" w:type="dxa"/>
          </w:tcPr>
          <w:p w:rsidR="002628A8" w:rsidRPr="00965C80" w:rsidRDefault="002628A8" w:rsidP="003C2BFE">
            <w:pPr>
              <w:rPr>
                <w:sz w:val="20"/>
              </w:rPr>
            </w:pPr>
            <w:r w:rsidRPr="00965C80">
              <w:rPr>
                <w:sz w:val="20"/>
              </w:rPr>
              <w:t>100%</w:t>
            </w:r>
          </w:p>
        </w:tc>
      </w:tr>
    </w:tbl>
    <w:p w:rsidR="002628A8" w:rsidRDefault="002628A8" w:rsidP="002628A8">
      <w:pPr>
        <w:rPr>
          <w:b/>
        </w:rPr>
      </w:pPr>
    </w:p>
    <w:p w:rsidR="002628A8" w:rsidRDefault="002628A8" w:rsidP="002628A8">
      <w:pPr>
        <w:rPr>
          <w:b/>
        </w:rPr>
      </w:pPr>
      <w:r w:rsidRPr="00143B06">
        <w:t>In 201</w:t>
      </w:r>
      <w:r>
        <w:t>6</w:t>
      </w:r>
      <w:r w:rsidRPr="00143B06">
        <w:t xml:space="preserve"> Wyndham ha</w:t>
      </w:r>
      <w:r w:rsidR="006332C4">
        <w:t>s</w:t>
      </w:r>
      <w:r w:rsidRPr="00143B06">
        <w:t xml:space="preserve"> the largest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143B06">
        <w:t xml:space="preserve"> community in </w:t>
      </w:r>
      <w:r>
        <w:t xml:space="preserve">the </w:t>
      </w:r>
      <w:r w:rsidRPr="00143B06">
        <w:t xml:space="preserve">Western Region </w:t>
      </w:r>
      <w:r>
        <w:t xml:space="preserve">with a total of 1,733 persons. As a proportion of total population, the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 in Wyndham is the </w:t>
      </w:r>
      <w:r w:rsidRPr="00143B06">
        <w:t xml:space="preserve">second largest </w:t>
      </w:r>
      <w:r>
        <w:t>in the Western region (0.80%)</w:t>
      </w:r>
      <w:r w:rsidRPr="00143B06">
        <w:t>, behind Melton</w:t>
      </w:r>
      <w:r>
        <w:t xml:space="preserve"> (0.95%)</w:t>
      </w:r>
      <w:r w:rsidRPr="00143B06">
        <w:t>.</w:t>
      </w:r>
      <w:r>
        <w:t xml:space="preserve"> Figure 1 illustrates this.</w:t>
      </w:r>
    </w:p>
    <w:p w:rsidR="002628A8" w:rsidRDefault="002628A8" w:rsidP="002628A8">
      <w:pPr>
        <w:pStyle w:val="Caption"/>
        <w:keepNext/>
      </w:pPr>
      <w:r>
        <w:t xml:space="preserve">Figure </w:t>
      </w:r>
      <w:r w:rsidR="00C2533F">
        <w:fldChar w:fldCharType="begin"/>
      </w:r>
      <w:r w:rsidR="00C2533F">
        <w:instrText xml:space="preserve"> SEQ Figure \* ARABIC </w:instrText>
      </w:r>
      <w:r w:rsidR="00C2533F">
        <w:fldChar w:fldCharType="separate"/>
      </w:r>
      <w:r w:rsidR="006A0E61">
        <w:rPr>
          <w:noProof/>
        </w:rPr>
        <w:t>1</w:t>
      </w:r>
      <w:r w:rsidR="00C2533F">
        <w:rPr>
          <w:noProof/>
        </w:rPr>
        <w:fldChar w:fldCharType="end"/>
      </w:r>
      <w:r>
        <w:t xml:space="preserve">: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ED2A57">
        <w:t xml:space="preserve"> Population Number and Percentage – Wyndham and Western Region Municipalities, 2016</w:t>
      </w:r>
    </w:p>
    <w:p w:rsidR="002628A8" w:rsidRDefault="002628A8" w:rsidP="002628A8">
      <w:r>
        <w:rPr>
          <w:noProof/>
          <w:lang w:eastAsia="en-AU"/>
        </w:rPr>
        <w:drawing>
          <wp:inline distT="0" distB="0" distL="0" distR="0" wp14:anchorId="75D35C69" wp14:editId="488D1A69">
            <wp:extent cx="4320000" cy="2642400"/>
            <wp:effectExtent l="0" t="0" r="444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6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555" w:rsidRDefault="002628A8" w:rsidP="002628A8">
      <w:r>
        <w:t xml:space="preserve">Table 2 enumerates the size of the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and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populations in 2011 and 2016. </w:t>
      </w:r>
      <w:r w:rsidR="00450555">
        <w:t xml:space="preserve">It splits up the </w:t>
      </w:r>
      <w:r w:rsidR="00DC4973">
        <w:t>C</w:t>
      </w:r>
      <w:r w:rsidR="00450555">
        <w:t xml:space="preserve">ensus data into people who identify as Aboriginal, Torres Strait Islander, and both. However, because the sample sizes for </w:t>
      </w:r>
      <w:r w:rsidR="00DC4973">
        <w:t xml:space="preserve">Torres Strait Islanders and people who identify as both Aboriginal and Torres Strait Islander </w:t>
      </w:r>
      <w:r w:rsidR="00450555">
        <w:t xml:space="preserve">are very small they cannot be used to draw inferences from. </w:t>
      </w:r>
      <w:r w:rsidR="00DC4973">
        <w:t>T</w:t>
      </w:r>
      <w:r w:rsidR="00450555">
        <w:t xml:space="preserve">hese three communities are </w:t>
      </w:r>
      <w:r w:rsidR="00DC4973">
        <w:t>therefore discussed together in this report.</w:t>
      </w:r>
    </w:p>
    <w:p w:rsidR="002628A8" w:rsidRDefault="002628A8" w:rsidP="002628A8">
      <w:r w:rsidRPr="00143B06">
        <w:lastRenderedPageBreak/>
        <w:t xml:space="preserve">Wyndham’s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143B06">
        <w:t xml:space="preserve"> population increased by </w:t>
      </w:r>
      <w:r>
        <w:t>51.4% (588 people) from 2011</w:t>
      </w:r>
      <w:r w:rsidRPr="00143B06">
        <w:t xml:space="preserve"> </w:t>
      </w:r>
      <w:r>
        <w:t xml:space="preserve">to </w:t>
      </w:r>
      <w:r w:rsidRPr="00143B06">
        <w:t>20</w:t>
      </w:r>
      <w:r>
        <w:t>16. The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 increased by 33.9% (51,823 people). The growth in the number of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people in Wyndham was 1.5 times faster than the growth in the number of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people.</w:t>
      </w:r>
    </w:p>
    <w:p w:rsidR="002628A8" w:rsidRDefault="002628A8" w:rsidP="002628A8">
      <w:pPr>
        <w:pStyle w:val="Caption"/>
        <w:keepNext/>
      </w:pPr>
      <w:r>
        <w:t xml:space="preserve">Table </w:t>
      </w:r>
      <w:r w:rsidR="00C2533F">
        <w:fldChar w:fldCharType="begin"/>
      </w:r>
      <w:r w:rsidR="00C2533F">
        <w:instrText xml:space="preserve"> SEQ Table \* ARABIC </w:instrText>
      </w:r>
      <w:r w:rsidR="00C2533F">
        <w:fldChar w:fldCharType="separate"/>
      </w:r>
      <w:r w:rsidR="006A0E61">
        <w:rPr>
          <w:noProof/>
        </w:rPr>
        <w:t>2</w:t>
      </w:r>
      <w:r w:rsidR="00C2533F">
        <w:rPr>
          <w:noProof/>
        </w:rPr>
        <w:fldChar w:fldCharType="end"/>
      </w:r>
      <w:r>
        <w:t xml:space="preserve">: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3143A3">
        <w:t xml:space="preserve"> and </w:t>
      </w:r>
      <w:r w:rsidR="00AB6F6B">
        <w:t>N</w:t>
      </w:r>
      <w:r w:rsidRPr="003143A3">
        <w:t>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 in Wyndham, 2011 and 2016</w:t>
      </w:r>
    </w:p>
    <w:tbl>
      <w:tblPr>
        <w:tblStyle w:val="TableGrid"/>
        <w:tblW w:w="6804" w:type="dxa"/>
        <w:tblLook w:val="04A0" w:firstRow="1" w:lastRow="0" w:firstColumn="1" w:lastColumn="0" w:noHBand="0" w:noVBand="1"/>
      </w:tblPr>
      <w:tblGrid>
        <w:gridCol w:w="1526"/>
        <w:gridCol w:w="1319"/>
        <w:gridCol w:w="1320"/>
        <w:gridCol w:w="1319"/>
        <w:gridCol w:w="1320"/>
      </w:tblGrid>
      <w:tr w:rsidR="002628A8" w:rsidRPr="00055627" w:rsidTr="003C2BFE">
        <w:tc>
          <w:tcPr>
            <w:tcW w:w="1526" w:type="dxa"/>
          </w:tcPr>
          <w:p w:rsidR="002628A8" w:rsidRPr="00055627" w:rsidRDefault="002628A8" w:rsidP="003C2BFE">
            <w:pPr>
              <w:rPr>
                <w:sz w:val="20"/>
              </w:rPr>
            </w:pPr>
          </w:p>
        </w:tc>
        <w:tc>
          <w:tcPr>
            <w:tcW w:w="2639" w:type="dxa"/>
            <w:gridSpan w:val="2"/>
          </w:tcPr>
          <w:p w:rsidR="002628A8" w:rsidRPr="00055627" w:rsidRDefault="002628A8" w:rsidP="003C2BFE">
            <w:pPr>
              <w:jc w:val="center"/>
              <w:rPr>
                <w:b/>
                <w:sz w:val="20"/>
              </w:rPr>
            </w:pPr>
            <w:r w:rsidRPr="00055627">
              <w:rPr>
                <w:b/>
                <w:sz w:val="20"/>
              </w:rPr>
              <w:t>2011</w:t>
            </w:r>
          </w:p>
        </w:tc>
        <w:tc>
          <w:tcPr>
            <w:tcW w:w="2639" w:type="dxa"/>
            <w:gridSpan w:val="2"/>
          </w:tcPr>
          <w:p w:rsidR="002628A8" w:rsidRPr="00055627" w:rsidRDefault="002628A8" w:rsidP="003C2BFE">
            <w:pPr>
              <w:jc w:val="center"/>
              <w:rPr>
                <w:b/>
                <w:sz w:val="20"/>
              </w:rPr>
            </w:pPr>
            <w:r w:rsidRPr="00055627">
              <w:rPr>
                <w:b/>
                <w:sz w:val="20"/>
              </w:rPr>
              <w:t>2016</w:t>
            </w:r>
          </w:p>
        </w:tc>
      </w:tr>
      <w:tr w:rsidR="002628A8" w:rsidRPr="00055627" w:rsidTr="003C2BFE">
        <w:tc>
          <w:tcPr>
            <w:tcW w:w="1526" w:type="dxa"/>
          </w:tcPr>
          <w:p w:rsidR="002628A8" w:rsidRPr="00055627" w:rsidRDefault="002628A8" w:rsidP="003C2BFE">
            <w:pPr>
              <w:rPr>
                <w:i/>
                <w:sz w:val="20"/>
              </w:rPr>
            </w:pPr>
          </w:p>
        </w:tc>
        <w:tc>
          <w:tcPr>
            <w:tcW w:w="1319" w:type="dxa"/>
          </w:tcPr>
          <w:p w:rsidR="002628A8" w:rsidRPr="00055627" w:rsidRDefault="002628A8" w:rsidP="003C2BFE">
            <w:pPr>
              <w:rPr>
                <w:i/>
                <w:sz w:val="20"/>
              </w:rPr>
            </w:pPr>
            <w:r w:rsidRPr="00055627">
              <w:rPr>
                <w:i/>
                <w:sz w:val="20"/>
              </w:rPr>
              <w:t>Number</w:t>
            </w:r>
          </w:p>
        </w:tc>
        <w:tc>
          <w:tcPr>
            <w:tcW w:w="1320" w:type="dxa"/>
          </w:tcPr>
          <w:p w:rsidR="002628A8" w:rsidRPr="00055627" w:rsidRDefault="002628A8" w:rsidP="003C2BFE">
            <w:pPr>
              <w:rPr>
                <w:i/>
                <w:sz w:val="20"/>
              </w:rPr>
            </w:pPr>
            <w:r w:rsidRPr="00055627">
              <w:rPr>
                <w:i/>
                <w:sz w:val="20"/>
              </w:rPr>
              <w:t>Percentage</w:t>
            </w:r>
          </w:p>
        </w:tc>
        <w:tc>
          <w:tcPr>
            <w:tcW w:w="1319" w:type="dxa"/>
          </w:tcPr>
          <w:p w:rsidR="002628A8" w:rsidRPr="00055627" w:rsidRDefault="002628A8" w:rsidP="003C2BFE">
            <w:pPr>
              <w:rPr>
                <w:i/>
                <w:sz w:val="20"/>
              </w:rPr>
            </w:pPr>
            <w:r w:rsidRPr="00055627">
              <w:rPr>
                <w:i/>
                <w:sz w:val="20"/>
              </w:rPr>
              <w:t>Number</w:t>
            </w:r>
          </w:p>
        </w:tc>
        <w:tc>
          <w:tcPr>
            <w:tcW w:w="1320" w:type="dxa"/>
          </w:tcPr>
          <w:p w:rsidR="002628A8" w:rsidRPr="00055627" w:rsidRDefault="002628A8" w:rsidP="003C2BFE">
            <w:pPr>
              <w:rPr>
                <w:i/>
                <w:sz w:val="20"/>
              </w:rPr>
            </w:pPr>
            <w:r w:rsidRPr="00055627">
              <w:rPr>
                <w:i/>
                <w:sz w:val="20"/>
              </w:rPr>
              <w:t>Percentage</w:t>
            </w:r>
          </w:p>
        </w:tc>
      </w:tr>
      <w:tr w:rsidR="002628A8" w:rsidRPr="00055627" w:rsidTr="003C2BFE">
        <w:tc>
          <w:tcPr>
            <w:tcW w:w="1526" w:type="dxa"/>
          </w:tcPr>
          <w:p w:rsidR="002628A8" w:rsidRPr="00055627" w:rsidRDefault="002628A8" w:rsidP="003C2BFE">
            <w:pPr>
              <w:rPr>
                <w:sz w:val="20"/>
              </w:rPr>
            </w:pPr>
            <w:r>
              <w:rPr>
                <w:sz w:val="20"/>
              </w:rPr>
              <w:t>non-</w:t>
            </w:r>
            <w:r w:rsidR="00B46330">
              <w:rPr>
                <w:sz w:val="20"/>
              </w:rPr>
              <w:t xml:space="preserve">Aboriginal and </w:t>
            </w:r>
            <w:r w:rsidR="006332C4">
              <w:rPr>
                <w:sz w:val="20"/>
              </w:rPr>
              <w:t>Torres</w:t>
            </w:r>
            <w:r w:rsidR="00B46330">
              <w:rPr>
                <w:sz w:val="20"/>
              </w:rPr>
              <w:t xml:space="preserve"> Strait Islander</w:t>
            </w:r>
          </w:p>
        </w:tc>
        <w:tc>
          <w:tcPr>
            <w:tcW w:w="1319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152,731</w:t>
            </w:r>
          </w:p>
        </w:tc>
        <w:tc>
          <w:tcPr>
            <w:tcW w:w="1320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94.50%</w:t>
            </w:r>
          </w:p>
        </w:tc>
        <w:tc>
          <w:tcPr>
            <w:tcW w:w="1319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204,554</w:t>
            </w:r>
          </w:p>
        </w:tc>
        <w:tc>
          <w:tcPr>
            <w:tcW w:w="1320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94.21%</w:t>
            </w:r>
          </w:p>
        </w:tc>
      </w:tr>
      <w:tr w:rsidR="002628A8" w:rsidRPr="00055627" w:rsidTr="003C2BFE">
        <w:tc>
          <w:tcPr>
            <w:tcW w:w="1526" w:type="dxa"/>
          </w:tcPr>
          <w:p w:rsidR="002628A8" w:rsidRPr="00055627" w:rsidRDefault="006332C4" w:rsidP="006332C4">
            <w:pPr>
              <w:rPr>
                <w:sz w:val="20"/>
              </w:rPr>
            </w:pPr>
            <w:r>
              <w:rPr>
                <w:sz w:val="20"/>
              </w:rPr>
              <w:t>Aboriginal</w:t>
            </w:r>
          </w:p>
        </w:tc>
        <w:tc>
          <w:tcPr>
            <w:tcW w:w="1319" w:type="dxa"/>
          </w:tcPr>
          <w:p w:rsidR="002628A8" w:rsidRPr="00055627" w:rsidRDefault="006332C4" w:rsidP="003C2BFE">
            <w:pPr>
              <w:rPr>
                <w:sz w:val="20"/>
              </w:rPr>
            </w:pPr>
            <w:r>
              <w:rPr>
                <w:sz w:val="20"/>
              </w:rPr>
              <w:t>1,064</w:t>
            </w:r>
          </w:p>
        </w:tc>
        <w:tc>
          <w:tcPr>
            <w:tcW w:w="1320" w:type="dxa"/>
          </w:tcPr>
          <w:p w:rsidR="002628A8" w:rsidRPr="00055627" w:rsidRDefault="006332C4" w:rsidP="006332C4">
            <w:pPr>
              <w:rPr>
                <w:sz w:val="20"/>
              </w:rPr>
            </w:pPr>
            <w:r>
              <w:rPr>
                <w:sz w:val="20"/>
              </w:rPr>
              <w:t>0.66</w:t>
            </w:r>
            <w:r w:rsidR="002628A8" w:rsidRPr="00055627">
              <w:rPr>
                <w:sz w:val="20"/>
              </w:rPr>
              <w:t>%</w:t>
            </w:r>
          </w:p>
        </w:tc>
        <w:tc>
          <w:tcPr>
            <w:tcW w:w="1319" w:type="dxa"/>
          </w:tcPr>
          <w:p w:rsidR="002628A8" w:rsidRPr="00055627" w:rsidRDefault="006332C4" w:rsidP="003C2BFE">
            <w:pPr>
              <w:rPr>
                <w:sz w:val="20"/>
              </w:rPr>
            </w:pPr>
            <w:r>
              <w:rPr>
                <w:sz w:val="20"/>
              </w:rPr>
              <w:t>1,663</w:t>
            </w:r>
          </w:p>
        </w:tc>
        <w:tc>
          <w:tcPr>
            <w:tcW w:w="1320" w:type="dxa"/>
          </w:tcPr>
          <w:p w:rsidR="002628A8" w:rsidRPr="00055627" w:rsidRDefault="006332C4" w:rsidP="006332C4">
            <w:pPr>
              <w:rPr>
                <w:sz w:val="20"/>
              </w:rPr>
            </w:pPr>
            <w:r>
              <w:rPr>
                <w:sz w:val="20"/>
              </w:rPr>
              <w:t>0.77%</w:t>
            </w:r>
          </w:p>
        </w:tc>
      </w:tr>
      <w:tr w:rsidR="006332C4" w:rsidRPr="00055627" w:rsidTr="003C2BFE">
        <w:tc>
          <w:tcPr>
            <w:tcW w:w="1526" w:type="dxa"/>
          </w:tcPr>
          <w:p w:rsidR="006332C4" w:rsidRDefault="006332C4" w:rsidP="003C2BFE">
            <w:pPr>
              <w:rPr>
                <w:sz w:val="20"/>
              </w:rPr>
            </w:pPr>
            <w:r>
              <w:rPr>
                <w:sz w:val="20"/>
              </w:rPr>
              <w:t>Torres Strait Islander</w:t>
            </w:r>
          </w:p>
        </w:tc>
        <w:tc>
          <w:tcPr>
            <w:tcW w:w="1319" w:type="dxa"/>
          </w:tcPr>
          <w:p w:rsidR="006332C4" w:rsidRPr="00055627" w:rsidRDefault="006332C4" w:rsidP="003C2BFE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20" w:type="dxa"/>
          </w:tcPr>
          <w:p w:rsidR="006332C4" w:rsidRPr="00055627" w:rsidRDefault="006332C4" w:rsidP="003C2BFE">
            <w:pPr>
              <w:rPr>
                <w:sz w:val="20"/>
              </w:rPr>
            </w:pPr>
            <w:r>
              <w:rPr>
                <w:sz w:val="20"/>
              </w:rPr>
              <w:t>0.04%</w:t>
            </w:r>
          </w:p>
        </w:tc>
        <w:tc>
          <w:tcPr>
            <w:tcW w:w="1319" w:type="dxa"/>
          </w:tcPr>
          <w:p w:rsidR="006332C4" w:rsidRPr="00055627" w:rsidRDefault="006332C4" w:rsidP="003C2BFE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20" w:type="dxa"/>
          </w:tcPr>
          <w:p w:rsidR="006332C4" w:rsidRPr="00055627" w:rsidRDefault="006332C4" w:rsidP="003C2BFE">
            <w:pPr>
              <w:rPr>
                <w:sz w:val="20"/>
              </w:rPr>
            </w:pPr>
            <w:r>
              <w:rPr>
                <w:sz w:val="20"/>
              </w:rPr>
              <w:t>0.02%</w:t>
            </w:r>
          </w:p>
        </w:tc>
      </w:tr>
      <w:tr w:rsidR="006332C4" w:rsidRPr="00055627" w:rsidTr="003C2BFE">
        <w:tc>
          <w:tcPr>
            <w:tcW w:w="1526" w:type="dxa"/>
          </w:tcPr>
          <w:p w:rsidR="006332C4" w:rsidRDefault="006332C4" w:rsidP="003C2BFE">
            <w:pPr>
              <w:rPr>
                <w:sz w:val="20"/>
              </w:rPr>
            </w:pPr>
            <w:r>
              <w:rPr>
                <w:sz w:val="20"/>
              </w:rPr>
              <w:t>Both Aboriginal and Torres Strait Islander</w:t>
            </w:r>
          </w:p>
        </w:tc>
        <w:tc>
          <w:tcPr>
            <w:tcW w:w="1319" w:type="dxa"/>
          </w:tcPr>
          <w:p w:rsidR="006332C4" w:rsidRPr="00055627" w:rsidRDefault="006332C4" w:rsidP="003C2BF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0" w:type="dxa"/>
          </w:tcPr>
          <w:p w:rsidR="006332C4" w:rsidRPr="00055627" w:rsidRDefault="006332C4" w:rsidP="003C2BFE">
            <w:pPr>
              <w:rPr>
                <w:sz w:val="20"/>
              </w:rPr>
            </w:pPr>
            <w:r>
              <w:rPr>
                <w:sz w:val="20"/>
              </w:rPr>
              <w:t>0.01%</w:t>
            </w:r>
          </w:p>
        </w:tc>
        <w:tc>
          <w:tcPr>
            <w:tcW w:w="1319" w:type="dxa"/>
          </w:tcPr>
          <w:p w:rsidR="006332C4" w:rsidRPr="00055627" w:rsidRDefault="006332C4" w:rsidP="003C2BFE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20" w:type="dxa"/>
          </w:tcPr>
          <w:p w:rsidR="006332C4" w:rsidRPr="00055627" w:rsidRDefault="006332C4" w:rsidP="003C2BFE">
            <w:pPr>
              <w:rPr>
                <w:sz w:val="20"/>
              </w:rPr>
            </w:pPr>
            <w:r>
              <w:rPr>
                <w:sz w:val="20"/>
              </w:rPr>
              <w:t>0.01%</w:t>
            </w:r>
          </w:p>
        </w:tc>
      </w:tr>
      <w:tr w:rsidR="002628A8" w:rsidRPr="00055627" w:rsidTr="003C2BFE">
        <w:tc>
          <w:tcPr>
            <w:tcW w:w="1526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Not stated</w:t>
            </w:r>
          </w:p>
        </w:tc>
        <w:tc>
          <w:tcPr>
            <w:tcW w:w="1319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7,700</w:t>
            </w:r>
          </w:p>
        </w:tc>
        <w:tc>
          <w:tcPr>
            <w:tcW w:w="1320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4.80%</w:t>
            </w:r>
          </w:p>
        </w:tc>
        <w:tc>
          <w:tcPr>
            <w:tcW w:w="1319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10,827</w:t>
            </w:r>
          </w:p>
        </w:tc>
        <w:tc>
          <w:tcPr>
            <w:tcW w:w="1320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4.99%</w:t>
            </w:r>
          </w:p>
        </w:tc>
      </w:tr>
      <w:tr w:rsidR="002628A8" w:rsidRPr="00055627" w:rsidTr="003C2BFE">
        <w:tc>
          <w:tcPr>
            <w:tcW w:w="1526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Total</w:t>
            </w:r>
          </w:p>
        </w:tc>
        <w:tc>
          <w:tcPr>
            <w:tcW w:w="1319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161,576</w:t>
            </w:r>
          </w:p>
        </w:tc>
        <w:tc>
          <w:tcPr>
            <w:tcW w:w="1320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100.00%</w:t>
            </w:r>
          </w:p>
        </w:tc>
        <w:tc>
          <w:tcPr>
            <w:tcW w:w="1319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217,118</w:t>
            </w:r>
          </w:p>
        </w:tc>
        <w:tc>
          <w:tcPr>
            <w:tcW w:w="1320" w:type="dxa"/>
          </w:tcPr>
          <w:p w:rsidR="002628A8" w:rsidRPr="00055627" w:rsidRDefault="002628A8" w:rsidP="003C2BFE">
            <w:pPr>
              <w:rPr>
                <w:sz w:val="20"/>
              </w:rPr>
            </w:pPr>
            <w:r w:rsidRPr="00055627">
              <w:rPr>
                <w:sz w:val="20"/>
              </w:rPr>
              <w:t>100.00%</w:t>
            </w:r>
          </w:p>
        </w:tc>
      </w:tr>
    </w:tbl>
    <w:p w:rsidR="002628A8" w:rsidRDefault="002628A8" w:rsidP="002628A8">
      <w:pPr>
        <w:rPr>
          <w:b/>
        </w:rPr>
      </w:pPr>
    </w:p>
    <w:p w:rsidR="002628A8" w:rsidRDefault="002628A8" w:rsidP="002628A8">
      <w:pPr>
        <w:pStyle w:val="Caption"/>
        <w:keepNext/>
      </w:pPr>
      <w:r>
        <w:t xml:space="preserve">Figure </w:t>
      </w:r>
      <w:r w:rsidR="00C2533F">
        <w:fldChar w:fldCharType="begin"/>
      </w:r>
      <w:r w:rsidR="00C2533F">
        <w:instrText xml:space="preserve"> SEQ Figure \* ARABIC </w:instrText>
      </w:r>
      <w:r w:rsidR="00C2533F">
        <w:fldChar w:fldCharType="separate"/>
      </w:r>
      <w:r w:rsidR="006A0E61">
        <w:rPr>
          <w:noProof/>
        </w:rPr>
        <w:t>2</w:t>
      </w:r>
      <w:r w:rsidR="00C2533F">
        <w:rPr>
          <w:noProof/>
        </w:rPr>
        <w:fldChar w:fldCharType="end"/>
      </w:r>
      <w:r>
        <w:t xml:space="preserve">: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677DCD">
        <w:t xml:space="preserve"> Population and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677DCD">
        <w:t xml:space="preserve"> Population Change – Wyndham, 2011 to 2016</w:t>
      </w:r>
    </w:p>
    <w:p w:rsidR="002628A8" w:rsidRDefault="00450555" w:rsidP="002628A8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5E3E4254">
            <wp:extent cx="4320000" cy="1897200"/>
            <wp:effectExtent l="0" t="0" r="444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8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8A8" w:rsidRDefault="002628A8" w:rsidP="002628A8">
      <w:r>
        <w:t xml:space="preserve">Werribee is home to the largest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community in Wyndham with 447 people living in the suburb in 2016. Hoppers Crossing, Wyndham Vale, Point Cook, Truganina and Tarneit are also home to sizeable populations of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residents (Figure 3).</w:t>
      </w:r>
    </w:p>
    <w:p w:rsidR="002628A8" w:rsidRDefault="002628A8" w:rsidP="002628A8">
      <w:pPr>
        <w:pStyle w:val="Caption"/>
        <w:keepNext/>
      </w:pPr>
      <w:r>
        <w:lastRenderedPageBreak/>
        <w:t xml:space="preserve">Figure </w:t>
      </w:r>
      <w:r w:rsidR="00C2533F">
        <w:fldChar w:fldCharType="begin"/>
      </w:r>
      <w:r w:rsidR="00C2533F">
        <w:instrText xml:space="preserve"> SEQ Figure \* ARABIC </w:instrText>
      </w:r>
      <w:r w:rsidR="00C2533F">
        <w:fldChar w:fldCharType="separate"/>
      </w:r>
      <w:r w:rsidR="006A0E61">
        <w:rPr>
          <w:noProof/>
        </w:rPr>
        <w:t>3</w:t>
      </w:r>
      <w:r w:rsidR="00C2533F">
        <w:rPr>
          <w:noProof/>
        </w:rPr>
        <w:fldChar w:fldCharType="end"/>
      </w:r>
      <w:r>
        <w:t xml:space="preserve">: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E319D2">
        <w:t xml:space="preserve"> Population (Number) </w:t>
      </w:r>
      <w:r>
        <w:t xml:space="preserve">in Wyndham </w:t>
      </w:r>
      <w:r w:rsidRPr="00E319D2">
        <w:t>Suburbs, 2016</w:t>
      </w:r>
    </w:p>
    <w:p w:rsidR="002628A8" w:rsidRDefault="002628A8" w:rsidP="002628A8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7D4C8B25" wp14:editId="7C830253">
            <wp:extent cx="4320000" cy="19440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8A8" w:rsidRPr="00F23252" w:rsidRDefault="002628A8" w:rsidP="002628A8">
      <w:r w:rsidRPr="00F23252">
        <w:t xml:space="preserve">In </w:t>
      </w:r>
      <w:r>
        <w:t>relation</w:t>
      </w:r>
      <w:r w:rsidRPr="00F23252">
        <w:t xml:space="preserve"> to </w:t>
      </w:r>
      <w:r>
        <w:t xml:space="preserve">overall population sizes, the suburbs with the largest proportions of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residents are Wyndham Vale (1.37%), Werribee (1.11%), Truganina (0.92%), Little River (0.91%) and Hoppers Crossing (0.84%). The pattern in Figure 4 is highly similar to that in 2011</w:t>
      </w:r>
      <w:r w:rsidR="00DC4973">
        <w:t xml:space="preserve">. </w:t>
      </w:r>
      <w:r>
        <w:t xml:space="preserve">Laverton North </w:t>
      </w:r>
      <w:r w:rsidR="00DC4973">
        <w:t xml:space="preserve">is an exception as </w:t>
      </w:r>
      <w:r>
        <w:t xml:space="preserve">no </w:t>
      </w:r>
      <w:r w:rsidR="00DC4973">
        <w:t xml:space="preserve">residents who identified as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reside </w:t>
      </w:r>
      <w:r w:rsidR="00745384">
        <w:t xml:space="preserve">there </w:t>
      </w:r>
      <w:r>
        <w:t>in 2016</w:t>
      </w:r>
      <w:r w:rsidR="00745384">
        <w:t>, compared to 4 in 2011</w:t>
      </w:r>
      <w:r>
        <w:t xml:space="preserve">. </w:t>
      </w:r>
    </w:p>
    <w:p w:rsidR="002628A8" w:rsidRDefault="002628A8" w:rsidP="002628A8">
      <w:pPr>
        <w:pStyle w:val="Caption"/>
        <w:keepNext/>
      </w:pPr>
      <w:r>
        <w:t xml:space="preserve">Figure </w:t>
      </w:r>
      <w:r w:rsidR="00C2533F">
        <w:fldChar w:fldCharType="begin"/>
      </w:r>
      <w:r w:rsidR="00C2533F">
        <w:instrText xml:space="preserve"> SEQ Figure \* ARABIC </w:instrText>
      </w:r>
      <w:r w:rsidR="00C2533F">
        <w:fldChar w:fldCharType="separate"/>
      </w:r>
      <w:r w:rsidR="006A0E61">
        <w:rPr>
          <w:noProof/>
        </w:rPr>
        <w:t>4</w:t>
      </w:r>
      <w:r w:rsidR="00C2533F">
        <w:rPr>
          <w:noProof/>
        </w:rPr>
        <w:fldChar w:fldCharType="end"/>
      </w:r>
      <w:r>
        <w:t xml:space="preserve">: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1C365C">
        <w:t xml:space="preserve"> Population (</w:t>
      </w:r>
      <w:r>
        <w:t>Percentage</w:t>
      </w:r>
      <w:r w:rsidRPr="001C365C">
        <w:t>) in Wyndham Suburbs, 2016</w:t>
      </w:r>
    </w:p>
    <w:p w:rsidR="002628A8" w:rsidRDefault="002628A8" w:rsidP="002628A8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35058378" wp14:editId="2F917580">
            <wp:extent cx="4320000" cy="1864800"/>
            <wp:effectExtent l="0" t="0" r="444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8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8A8" w:rsidRDefault="002628A8" w:rsidP="002628A8">
      <w:pPr>
        <w:pStyle w:val="Heading2"/>
      </w:pPr>
      <w:r>
        <w:t>Age</w:t>
      </w:r>
    </w:p>
    <w:p w:rsidR="00745384" w:rsidRDefault="00745384" w:rsidP="00745384">
      <w:r w:rsidRPr="00143B06">
        <w:t>In 201</w:t>
      </w:r>
      <w:r>
        <w:t>6</w:t>
      </w:r>
      <w:r w:rsidRPr="00143B06">
        <w:t xml:space="preserve"> the Wyndham </w:t>
      </w:r>
      <w:r>
        <w:t>Aboriginal and Torres Strait Islander</w:t>
      </w:r>
      <w:r w:rsidRPr="00143B06">
        <w:t xml:space="preserve"> community has a larger proportion of people under 15 years and smaller proportions of people over the age of 60 years than the Victorian </w:t>
      </w:r>
      <w:r>
        <w:t>Aboriginal and Torres Strait Islander</w:t>
      </w:r>
      <w:r w:rsidRPr="00143B06">
        <w:t xml:space="preserve"> community. Generally, the Wyndham </w:t>
      </w:r>
      <w:r>
        <w:t>Aboriginal and Torres Strait Islander</w:t>
      </w:r>
      <w:r w:rsidRPr="00143B06">
        <w:t xml:space="preserve"> Community has a younger age profile than the Wyndham non-</w:t>
      </w:r>
      <w:r>
        <w:t>Aboriginal and Torres Strait Islander</w:t>
      </w:r>
      <w:r w:rsidRPr="00143B06">
        <w:t xml:space="preserve"> community and the</w:t>
      </w:r>
      <w:r>
        <w:t xml:space="preserve"> Victorian Aboriginal and Torres Strait Islander community as Figure 5 shows.</w:t>
      </w:r>
    </w:p>
    <w:p w:rsidR="00745384" w:rsidRDefault="00745384" w:rsidP="00745384">
      <w:pPr>
        <w:pStyle w:val="Caption"/>
        <w:keepNext/>
      </w:pPr>
      <w:r>
        <w:lastRenderedPageBreak/>
        <w:t xml:space="preserve">Figure </w:t>
      </w:r>
      <w:fldSimple w:instr=" SEQ Figure \* ARABIC ">
        <w:r>
          <w:rPr>
            <w:noProof/>
          </w:rPr>
          <w:t>5</w:t>
        </w:r>
      </w:fldSimple>
      <w:r>
        <w:t xml:space="preserve">: </w:t>
      </w:r>
      <w:r w:rsidRPr="00E84230">
        <w:t xml:space="preserve">Age Profile of </w:t>
      </w:r>
      <w:r>
        <w:t>Aboriginal and Torres Strait Islander</w:t>
      </w:r>
      <w:r w:rsidRPr="00E84230">
        <w:t xml:space="preserve"> and Non-</w:t>
      </w:r>
      <w:r>
        <w:t>Aboriginal and Torres Strait Islander</w:t>
      </w:r>
      <w:r w:rsidRPr="00E84230">
        <w:t xml:space="preserve"> Population, Wyndham and Victoria</w:t>
      </w:r>
      <w:r>
        <w:t>,</w:t>
      </w:r>
      <w:r w:rsidRPr="00E84230">
        <w:t xml:space="preserve"> 2016</w:t>
      </w:r>
    </w:p>
    <w:p w:rsidR="00745384" w:rsidRDefault="00745384" w:rsidP="00745384">
      <w:r>
        <w:rPr>
          <w:noProof/>
          <w:lang w:eastAsia="en-AU"/>
        </w:rPr>
        <w:drawing>
          <wp:inline distT="0" distB="0" distL="0" distR="0" wp14:anchorId="4E77653E" wp14:editId="5573D0DE">
            <wp:extent cx="4320000" cy="259200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384" w:rsidRPr="00745384" w:rsidRDefault="00745384" w:rsidP="00745384"/>
    <w:p w:rsidR="002628A8" w:rsidRDefault="002628A8" w:rsidP="002628A8">
      <w:r w:rsidRPr="00143B06">
        <w:t>In 201</w:t>
      </w:r>
      <w:r>
        <w:t>6</w:t>
      </w:r>
      <w:r w:rsidRPr="00143B06">
        <w:t xml:space="preserve">, the median age of the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143B06">
        <w:t xml:space="preserve"> population </w:t>
      </w:r>
      <w:r>
        <w:t xml:space="preserve">in Wyndham </w:t>
      </w:r>
      <w:r w:rsidR="00450555">
        <w:t>i</w:t>
      </w:r>
      <w:r w:rsidRPr="00143B06">
        <w:t xml:space="preserve">s </w:t>
      </w:r>
      <w:r>
        <w:t>24.2. This is 8</w:t>
      </w:r>
      <w:r w:rsidRPr="00143B06">
        <w:t xml:space="preserve"> years </w:t>
      </w:r>
      <w:r>
        <w:t xml:space="preserve">below </w:t>
      </w:r>
      <w:r w:rsidRPr="00143B06">
        <w:t>the median age of the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143B06">
        <w:t xml:space="preserve"> population</w:t>
      </w:r>
      <w:r>
        <w:t xml:space="preserve"> (32.3). The median age of</w:t>
      </w:r>
      <w:r w:rsidR="00A813C6">
        <w:t xml:space="preserve"> both population cohorts is</w:t>
      </w:r>
      <w:r>
        <w:t xml:space="preserve"> lower than in Greater Melbourne (Table 3).</w:t>
      </w:r>
    </w:p>
    <w:p w:rsidR="002628A8" w:rsidRDefault="002628A8" w:rsidP="002628A8">
      <w:pPr>
        <w:pStyle w:val="Caption"/>
        <w:keepNext/>
      </w:pPr>
      <w:r>
        <w:t xml:space="preserve">Table </w:t>
      </w:r>
      <w:r w:rsidR="00C2533F">
        <w:fldChar w:fldCharType="begin"/>
      </w:r>
      <w:r w:rsidR="00C2533F">
        <w:instrText xml:space="preserve"> SEQ Table \* ARABIC </w:instrText>
      </w:r>
      <w:r w:rsidR="00C2533F">
        <w:fldChar w:fldCharType="separate"/>
      </w:r>
      <w:r w:rsidR="006A0E61">
        <w:rPr>
          <w:noProof/>
        </w:rPr>
        <w:t>3</w:t>
      </w:r>
      <w:r w:rsidR="00C2533F">
        <w:rPr>
          <w:noProof/>
        </w:rPr>
        <w:fldChar w:fldCharType="end"/>
      </w:r>
      <w:r>
        <w:t xml:space="preserve">: </w:t>
      </w:r>
      <w:r w:rsidRPr="009F0BD3">
        <w:t xml:space="preserve">Median </w:t>
      </w:r>
      <w:r w:rsidR="00AB6F6B">
        <w:t>a</w:t>
      </w:r>
      <w:r w:rsidRPr="009F0BD3">
        <w:t xml:space="preserve">ge of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9F0BD3">
        <w:t xml:space="preserve"> and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9F0BD3">
        <w:t xml:space="preserve"> Population, Wy</w:t>
      </w:r>
      <w:r>
        <w:t>ndham and Greater Melbourne, 2016</w:t>
      </w:r>
    </w:p>
    <w:tbl>
      <w:tblPr>
        <w:tblStyle w:val="TableGrid"/>
        <w:tblW w:w="6804" w:type="dxa"/>
        <w:tblLook w:val="04A0" w:firstRow="1" w:lastRow="0" w:firstColumn="1" w:lastColumn="0" w:noHBand="0" w:noVBand="1"/>
      </w:tblPr>
      <w:tblGrid>
        <w:gridCol w:w="2251"/>
        <w:gridCol w:w="2263"/>
        <w:gridCol w:w="2290"/>
      </w:tblGrid>
      <w:tr w:rsidR="002628A8" w:rsidRPr="00CD7765" w:rsidTr="003C2BFE">
        <w:tc>
          <w:tcPr>
            <w:tcW w:w="2251" w:type="dxa"/>
          </w:tcPr>
          <w:p w:rsidR="002628A8" w:rsidRPr="00CD7765" w:rsidRDefault="002628A8" w:rsidP="003C2BFE">
            <w:pPr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2628A8" w:rsidRPr="00CD7765" w:rsidRDefault="002628A8" w:rsidP="003C2BFE">
            <w:pPr>
              <w:rPr>
                <w:b/>
                <w:sz w:val="20"/>
                <w:szCs w:val="20"/>
              </w:rPr>
            </w:pPr>
            <w:r w:rsidRPr="00CD7765">
              <w:rPr>
                <w:b/>
                <w:sz w:val="20"/>
                <w:szCs w:val="20"/>
              </w:rPr>
              <w:t>Wyndham</w:t>
            </w:r>
          </w:p>
        </w:tc>
        <w:tc>
          <w:tcPr>
            <w:tcW w:w="2290" w:type="dxa"/>
          </w:tcPr>
          <w:p w:rsidR="002628A8" w:rsidRPr="00CD7765" w:rsidRDefault="002628A8" w:rsidP="003C2BFE">
            <w:pPr>
              <w:rPr>
                <w:b/>
                <w:sz w:val="20"/>
                <w:szCs w:val="20"/>
              </w:rPr>
            </w:pPr>
            <w:r w:rsidRPr="00CD7765">
              <w:rPr>
                <w:b/>
                <w:sz w:val="20"/>
                <w:szCs w:val="20"/>
              </w:rPr>
              <w:t>Greater Melbourne</w:t>
            </w:r>
          </w:p>
        </w:tc>
      </w:tr>
      <w:tr w:rsidR="002628A8" w:rsidRPr="00CD7765" w:rsidTr="003C2BFE">
        <w:tc>
          <w:tcPr>
            <w:tcW w:w="2251" w:type="dxa"/>
          </w:tcPr>
          <w:p w:rsidR="002628A8" w:rsidRPr="00CD7765" w:rsidRDefault="00B46330" w:rsidP="003C2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Aboriginal and </w:t>
            </w:r>
            <w:r w:rsidR="006332C4">
              <w:rPr>
                <w:sz w:val="20"/>
                <w:szCs w:val="20"/>
              </w:rPr>
              <w:t>Torres</w:t>
            </w:r>
            <w:r>
              <w:rPr>
                <w:sz w:val="20"/>
                <w:szCs w:val="20"/>
              </w:rPr>
              <w:t xml:space="preserve"> Strait Islander</w:t>
            </w:r>
          </w:p>
        </w:tc>
        <w:tc>
          <w:tcPr>
            <w:tcW w:w="2263" w:type="dxa"/>
          </w:tcPr>
          <w:p w:rsidR="002628A8" w:rsidRPr="00CD7765" w:rsidRDefault="002628A8" w:rsidP="003C2BFE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24.2</w:t>
            </w:r>
          </w:p>
        </w:tc>
        <w:tc>
          <w:tcPr>
            <w:tcW w:w="2290" w:type="dxa"/>
          </w:tcPr>
          <w:p w:rsidR="002628A8" w:rsidRPr="00CD7765" w:rsidRDefault="002628A8" w:rsidP="003C2BFE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28</w:t>
            </w:r>
          </w:p>
        </w:tc>
      </w:tr>
      <w:tr w:rsidR="002628A8" w:rsidRPr="00CD7765" w:rsidTr="003C2BFE">
        <w:tc>
          <w:tcPr>
            <w:tcW w:w="2251" w:type="dxa"/>
          </w:tcPr>
          <w:p w:rsidR="002628A8" w:rsidRPr="00CD7765" w:rsidRDefault="002628A8" w:rsidP="003C2BFE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Non-</w:t>
            </w:r>
            <w:r w:rsidR="00B46330">
              <w:rPr>
                <w:sz w:val="20"/>
                <w:szCs w:val="20"/>
              </w:rPr>
              <w:t xml:space="preserve">Aboriginal and </w:t>
            </w:r>
            <w:r w:rsidR="006332C4">
              <w:rPr>
                <w:sz w:val="20"/>
                <w:szCs w:val="20"/>
              </w:rPr>
              <w:t>Torres</w:t>
            </w:r>
            <w:r w:rsidR="00B46330">
              <w:rPr>
                <w:sz w:val="20"/>
                <w:szCs w:val="20"/>
              </w:rPr>
              <w:t xml:space="preserve"> Strait Islander</w:t>
            </w:r>
          </w:p>
        </w:tc>
        <w:tc>
          <w:tcPr>
            <w:tcW w:w="2263" w:type="dxa"/>
          </w:tcPr>
          <w:p w:rsidR="002628A8" w:rsidRPr="00CD7765" w:rsidRDefault="002628A8" w:rsidP="003C2BFE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32.3</w:t>
            </w:r>
          </w:p>
        </w:tc>
        <w:tc>
          <w:tcPr>
            <w:tcW w:w="2290" w:type="dxa"/>
          </w:tcPr>
          <w:p w:rsidR="002628A8" w:rsidRPr="00CD7765" w:rsidRDefault="002628A8" w:rsidP="003C2BFE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37.6</w:t>
            </w:r>
          </w:p>
        </w:tc>
      </w:tr>
    </w:tbl>
    <w:p w:rsidR="002628A8" w:rsidRDefault="002628A8" w:rsidP="002628A8"/>
    <w:p w:rsidR="00A813C6" w:rsidRDefault="002628A8" w:rsidP="002628A8">
      <w:r>
        <w:t xml:space="preserve">Table 4 displays some selected age cohorts for the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and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populations in Melbourne. </w:t>
      </w:r>
    </w:p>
    <w:p w:rsidR="00A813C6" w:rsidRDefault="00A813C6" w:rsidP="00A813C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: </w:t>
      </w:r>
      <w:r w:rsidRPr="006D2AE2">
        <w:t xml:space="preserve">Selected Cohorts of </w:t>
      </w:r>
      <w:r>
        <w:t>Aboriginal and Torres Strait Islander</w:t>
      </w:r>
      <w:r w:rsidRPr="006D2AE2">
        <w:t xml:space="preserve"> and Non-</w:t>
      </w:r>
      <w:r>
        <w:t>Aboriginal and Torres Strait Islander</w:t>
      </w:r>
      <w:r w:rsidRPr="006D2AE2">
        <w:t xml:space="preserve"> Population - Wyndham, 2016</w:t>
      </w:r>
    </w:p>
    <w:tbl>
      <w:tblPr>
        <w:tblStyle w:val="TableGrid"/>
        <w:tblW w:w="6804" w:type="dxa"/>
        <w:tblLook w:val="04A0" w:firstRow="1" w:lastRow="0" w:firstColumn="1" w:lastColumn="0" w:noHBand="0" w:noVBand="1"/>
      </w:tblPr>
      <w:tblGrid>
        <w:gridCol w:w="2166"/>
        <w:gridCol w:w="2319"/>
        <w:gridCol w:w="2319"/>
      </w:tblGrid>
      <w:tr w:rsidR="00A813C6" w:rsidRPr="00CD7765" w:rsidTr="000E2DAD">
        <w:tc>
          <w:tcPr>
            <w:tcW w:w="2166" w:type="dxa"/>
          </w:tcPr>
          <w:p w:rsidR="00A813C6" w:rsidRPr="00CD7765" w:rsidRDefault="00A813C6" w:rsidP="000E2DAD">
            <w:pPr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b/>
                <w:sz w:val="20"/>
                <w:szCs w:val="20"/>
              </w:rPr>
            </w:pPr>
            <w:r w:rsidRPr="00CD7765">
              <w:rPr>
                <w:b/>
                <w:sz w:val="20"/>
                <w:szCs w:val="20"/>
              </w:rPr>
              <w:t>non-</w:t>
            </w:r>
            <w:r>
              <w:rPr>
                <w:b/>
                <w:sz w:val="20"/>
                <w:szCs w:val="20"/>
              </w:rPr>
              <w:t>Aboriginal and Torres Strait Islander</w:t>
            </w: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Aboriginal and Torres Strait Islander</w:t>
            </w:r>
          </w:p>
        </w:tc>
      </w:tr>
      <w:tr w:rsidR="00A813C6" w:rsidRPr="00CD7765" w:rsidTr="000E2DAD">
        <w:tc>
          <w:tcPr>
            <w:tcW w:w="2166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0-17</w:t>
            </w:r>
            <w:r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28.4%</w:t>
            </w: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41.8%</w:t>
            </w:r>
          </w:p>
        </w:tc>
      </w:tr>
      <w:tr w:rsidR="00A813C6" w:rsidRPr="00CD7765" w:rsidTr="000E2DAD">
        <w:tc>
          <w:tcPr>
            <w:tcW w:w="2166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18-24</w:t>
            </w:r>
            <w:r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8.4%</w:t>
            </w: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13.2%</w:t>
            </w:r>
          </w:p>
        </w:tc>
      </w:tr>
      <w:tr w:rsidR="00A813C6" w:rsidRPr="00CD7765" w:rsidTr="000E2DAD">
        <w:tc>
          <w:tcPr>
            <w:tcW w:w="2166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25-34</w:t>
            </w:r>
            <w:r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18.8%</w:t>
            </w: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16.0%</w:t>
            </w:r>
          </w:p>
        </w:tc>
      </w:tr>
      <w:tr w:rsidR="00A813C6" w:rsidRPr="00CD7765" w:rsidTr="000E2DAD">
        <w:tc>
          <w:tcPr>
            <w:tcW w:w="2166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35-49</w:t>
            </w:r>
            <w:r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23.3%</w:t>
            </w: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16.5%</w:t>
            </w:r>
          </w:p>
        </w:tc>
      </w:tr>
      <w:tr w:rsidR="00A813C6" w:rsidRPr="00CD7765" w:rsidTr="000E2DAD">
        <w:tc>
          <w:tcPr>
            <w:tcW w:w="2166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50-64</w:t>
            </w:r>
            <w:r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13.6%</w:t>
            </w: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9.3%</w:t>
            </w:r>
          </w:p>
        </w:tc>
      </w:tr>
      <w:tr w:rsidR="00A813C6" w:rsidRPr="00CD7765" w:rsidTr="000E2DAD">
        <w:tc>
          <w:tcPr>
            <w:tcW w:w="2166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65+</w:t>
            </w: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7.4%</w:t>
            </w:r>
          </w:p>
        </w:tc>
        <w:tc>
          <w:tcPr>
            <w:tcW w:w="2319" w:type="dxa"/>
          </w:tcPr>
          <w:p w:rsidR="00A813C6" w:rsidRPr="00CD7765" w:rsidRDefault="00A813C6" w:rsidP="000E2DAD">
            <w:pPr>
              <w:rPr>
                <w:sz w:val="20"/>
                <w:szCs w:val="20"/>
              </w:rPr>
            </w:pPr>
            <w:r w:rsidRPr="00CD7765">
              <w:rPr>
                <w:sz w:val="20"/>
                <w:szCs w:val="20"/>
              </w:rPr>
              <w:t>1.8%</w:t>
            </w:r>
          </w:p>
        </w:tc>
      </w:tr>
    </w:tbl>
    <w:p w:rsidR="00A813C6" w:rsidRDefault="00A813C6" w:rsidP="002628A8"/>
    <w:p w:rsidR="00A813C6" w:rsidRDefault="002628A8" w:rsidP="002628A8">
      <w:r w:rsidRPr="00143B06">
        <w:t xml:space="preserve">The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143B06">
        <w:t xml:space="preserve"> community has a larger proportion of residents under 18</w:t>
      </w:r>
      <w:r>
        <w:t xml:space="preserve"> </w:t>
      </w:r>
      <w:r w:rsidRPr="00143B06">
        <w:t>years (4</w:t>
      </w:r>
      <w:r>
        <w:t>1</w:t>
      </w:r>
      <w:r w:rsidRPr="00143B06">
        <w:t>.</w:t>
      </w:r>
      <w:r>
        <w:t>8</w:t>
      </w:r>
      <w:r w:rsidRPr="00143B06">
        <w:t>%) than the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143B06">
        <w:t xml:space="preserve"> population (</w:t>
      </w:r>
      <w:r>
        <w:t>28.4</w:t>
      </w:r>
      <w:r w:rsidRPr="00143B06">
        <w:t xml:space="preserve">%). </w:t>
      </w:r>
      <w:r>
        <w:t xml:space="preserve">Around 50% of the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 in Wyndham is 21 or younger, while non-</w:t>
      </w:r>
      <w:r w:rsidR="00B46330">
        <w:lastRenderedPageBreak/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people aged 21 or below make up only a third of the total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population. </w:t>
      </w:r>
    </w:p>
    <w:p w:rsidR="002628A8" w:rsidRDefault="00A813C6" w:rsidP="002628A8">
      <w:r>
        <w:t>T</w:t>
      </w:r>
      <w:r w:rsidR="002628A8" w:rsidRPr="00143B06">
        <w:t>he proportion of residents aged 65</w:t>
      </w:r>
      <w:r w:rsidR="002628A8">
        <w:t>+</w:t>
      </w:r>
      <w:r w:rsidR="002628A8" w:rsidRPr="00143B06">
        <w:t xml:space="preserve"> is smaller </w:t>
      </w:r>
      <w:r w:rsidR="002628A8">
        <w:t xml:space="preserve">in the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="002628A8">
        <w:t xml:space="preserve"> community (1.8</w:t>
      </w:r>
      <w:r w:rsidR="002628A8" w:rsidRPr="00143B06">
        <w:t>%) than the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="002628A8" w:rsidRPr="00143B06">
        <w:t xml:space="preserve"> community (</w:t>
      </w:r>
      <w:r w:rsidR="002628A8">
        <w:t xml:space="preserve">7.4%). For context, the percentages for Greater Melbourne are 5% and 13.9% respectively. This is indicative of the life expectancy gap that exists between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="002628A8">
        <w:t xml:space="preserve"> and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="002628A8">
        <w:t xml:space="preserve"> people </w:t>
      </w:r>
      <w:r>
        <w:t>nationally</w:t>
      </w:r>
      <w:r w:rsidR="002628A8">
        <w:rPr>
          <w:rStyle w:val="FootnoteReference"/>
        </w:rPr>
        <w:footnoteReference w:id="1"/>
      </w:r>
      <w:r w:rsidR="002628A8">
        <w:t xml:space="preserve">. The gap between Greater Melbourne and Wyndham 65+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="002628A8">
        <w:t xml:space="preserve"> residents is probably partly explained by the life expectancy gap, and partly by the generally low proportion of 65+ residents who reside in Wyndham relative to Greater Melbourne.</w:t>
      </w:r>
    </w:p>
    <w:p w:rsidR="002628A8" w:rsidRDefault="002628A8" w:rsidP="002628A8">
      <w:pPr>
        <w:pStyle w:val="Heading2"/>
      </w:pPr>
      <w:r>
        <w:t>Ancestry</w:t>
      </w:r>
    </w:p>
    <w:p w:rsidR="002628A8" w:rsidRDefault="002628A8" w:rsidP="002628A8">
      <w:pPr>
        <w:rPr>
          <w:bCs/>
        </w:rPr>
      </w:pPr>
      <w:r>
        <w:rPr>
          <w:bCs/>
        </w:rPr>
        <w:t>In the Census, the questions that relate to ancestry have two response options. Because they are not ordered, no primary and secondary ancestry can be derived. Multi-response ancestry totals both ancestry responses for each resident, and this is the count used in Table 5 and Figure 6.</w:t>
      </w:r>
    </w:p>
    <w:p w:rsidR="002628A8" w:rsidRDefault="002628A8" w:rsidP="002628A8">
      <w:pPr>
        <w:rPr>
          <w:bCs/>
        </w:rPr>
      </w:pPr>
      <w:r>
        <w:rPr>
          <w:bCs/>
        </w:rPr>
        <w:t xml:space="preserve">The majority of </w:t>
      </w:r>
      <w:r w:rsidR="00B46330">
        <w:rPr>
          <w:bCs/>
        </w:rPr>
        <w:t xml:space="preserve">Aboriginal and </w:t>
      </w:r>
      <w:r w:rsidR="006332C4">
        <w:rPr>
          <w:bCs/>
        </w:rPr>
        <w:t>Torres</w:t>
      </w:r>
      <w:r w:rsidR="00B46330">
        <w:rPr>
          <w:bCs/>
        </w:rPr>
        <w:t xml:space="preserve"> Strait Islander</w:t>
      </w:r>
      <w:r>
        <w:rPr>
          <w:bCs/>
        </w:rPr>
        <w:t xml:space="preserve"> residents in Wyndham</w:t>
      </w:r>
      <w:r w:rsidR="00A813C6">
        <w:rPr>
          <w:bCs/>
        </w:rPr>
        <w:t xml:space="preserve"> report having</w:t>
      </w:r>
      <w:r>
        <w:rPr>
          <w:bCs/>
        </w:rPr>
        <w:t xml:space="preserve"> Australian and/or North-West European ancestry (1,077 and 919 respectively). The number of </w:t>
      </w:r>
      <w:r w:rsidR="00B46330">
        <w:rPr>
          <w:bCs/>
        </w:rPr>
        <w:t xml:space="preserve">Aboriginal and </w:t>
      </w:r>
      <w:r w:rsidR="006332C4">
        <w:rPr>
          <w:bCs/>
        </w:rPr>
        <w:t>Torres</w:t>
      </w:r>
      <w:r w:rsidR="00B46330">
        <w:rPr>
          <w:bCs/>
        </w:rPr>
        <w:t xml:space="preserve"> Strait Islander</w:t>
      </w:r>
      <w:r>
        <w:rPr>
          <w:bCs/>
        </w:rPr>
        <w:t xml:space="preserve"> residents who indicate Australian </w:t>
      </w:r>
      <w:r w:rsidR="00B46330">
        <w:rPr>
          <w:bCs/>
        </w:rPr>
        <w:t xml:space="preserve">Aboriginal and </w:t>
      </w:r>
      <w:r w:rsidR="006332C4">
        <w:rPr>
          <w:bCs/>
        </w:rPr>
        <w:t>Torres</w:t>
      </w:r>
      <w:r w:rsidR="00B46330">
        <w:rPr>
          <w:bCs/>
        </w:rPr>
        <w:t xml:space="preserve"> Strait Islander</w:t>
      </w:r>
      <w:r>
        <w:rPr>
          <w:bCs/>
        </w:rPr>
        <w:t xml:space="preserve"> ancestry is far lower (166). The set of ancestry responses of non-</w:t>
      </w:r>
      <w:r w:rsidR="00B46330">
        <w:rPr>
          <w:bCs/>
        </w:rPr>
        <w:t xml:space="preserve">Aboriginal and </w:t>
      </w:r>
      <w:r w:rsidR="006332C4">
        <w:rPr>
          <w:bCs/>
        </w:rPr>
        <w:t>Torres</w:t>
      </w:r>
      <w:r w:rsidR="00B46330">
        <w:rPr>
          <w:bCs/>
        </w:rPr>
        <w:t xml:space="preserve"> Strait Islander</w:t>
      </w:r>
      <w:r>
        <w:rPr>
          <w:bCs/>
        </w:rPr>
        <w:t xml:space="preserve"> residents is more varied, and reflective of the general demographic profile of Wyndham. </w:t>
      </w:r>
    </w:p>
    <w:p w:rsidR="002628A8" w:rsidRDefault="002628A8" w:rsidP="002628A8">
      <w:pPr>
        <w:pStyle w:val="Caption"/>
        <w:keepNext/>
      </w:pPr>
      <w:r>
        <w:t xml:space="preserve">Table </w:t>
      </w:r>
      <w:r w:rsidR="00C2533F">
        <w:fldChar w:fldCharType="begin"/>
      </w:r>
      <w:r w:rsidR="00C2533F">
        <w:instrText xml:space="preserve"> SEQ Table \* ARABIC </w:instrText>
      </w:r>
      <w:r w:rsidR="00C2533F">
        <w:fldChar w:fldCharType="separate"/>
      </w:r>
      <w:r w:rsidR="006A0E61">
        <w:rPr>
          <w:noProof/>
        </w:rPr>
        <w:t>5</w:t>
      </w:r>
      <w:r w:rsidR="00C2533F">
        <w:rPr>
          <w:noProof/>
        </w:rPr>
        <w:fldChar w:fldCharType="end"/>
      </w:r>
      <w:r>
        <w:rPr>
          <w:noProof/>
        </w:rPr>
        <w:t xml:space="preserve">: </w:t>
      </w:r>
      <w:r w:rsidRPr="00E04CC8">
        <w:rPr>
          <w:noProof/>
        </w:rPr>
        <w:t xml:space="preserve">Ancestry of </w:t>
      </w:r>
      <w:r w:rsidR="00B46330">
        <w:rPr>
          <w:noProof/>
        </w:rPr>
        <w:t xml:space="preserve">Aboriginal and </w:t>
      </w:r>
      <w:r w:rsidR="006332C4">
        <w:rPr>
          <w:noProof/>
        </w:rPr>
        <w:t>Torres</w:t>
      </w:r>
      <w:r w:rsidR="00B46330">
        <w:rPr>
          <w:noProof/>
        </w:rPr>
        <w:t xml:space="preserve"> Strait Islander</w:t>
      </w:r>
      <w:r w:rsidRPr="00E04CC8">
        <w:rPr>
          <w:noProof/>
        </w:rPr>
        <w:t xml:space="preserve"> and Non-</w:t>
      </w:r>
      <w:r w:rsidR="00B46330">
        <w:rPr>
          <w:noProof/>
        </w:rPr>
        <w:t xml:space="preserve">Aboriginal and </w:t>
      </w:r>
      <w:r w:rsidR="006332C4">
        <w:rPr>
          <w:noProof/>
        </w:rPr>
        <w:t>Torres</w:t>
      </w:r>
      <w:r w:rsidR="00B46330">
        <w:rPr>
          <w:noProof/>
        </w:rPr>
        <w:t xml:space="preserve"> Strait Islander</w:t>
      </w:r>
      <w:r w:rsidRPr="00E04CC8">
        <w:rPr>
          <w:noProof/>
        </w:rPr>
        <w:t xml:space="preserve"> Po</w:t>
      </w:r>
      <w:r>
        <w:rPr>
          <w:noProof/>
        </w:rPr>
        <w:t>pulation (Number) – Wyndham</w:t>
      </w:r>
      <w:r w:rsidR="00BC06D9">
        <w:rPr>
          <w:noProof/>
        </w:rPr>
        <w:t>,</w:t>
      </w:r>
      <w:r>
        <w:rPr>
          <w:noProof/>
        </w:rPr>
        <w:t xml:space="preserve"> 2016</w:t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1700"/>
        <w:gridCol w:w="1619"/>
        <w:gridCol w:w="1655"/>
        <w:gridCol w:w="1482"/>
        <w:gridCol w:w="1482"/>
      </w:tblGrid>
      <w:tr w:rsidR="002628A8" w:rsidRPr="00800987" w:rsidTr="003C2BFE">
        <w:tc>
          <w:tcPr>
            <w:tcW w:w="1700" w:type="dxa"/>
            <w:hideMark/>
          </w:tcPr>
          <w:p w:rsidR="002628A8" w:rsidRPr="00800987" w:rsidRDefault="002628A8" w:rsidP="003C2BFE">
            <w:pPr>
              <w:rPr>
                <w:b/>
                <w:bCs/>
                <w:sz w:val="20"/>
                <w:szCs w:val="20"/>
              </w:rPr>
            </w:pPr>
            <w:r w:rsidRPr="008009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hideMark/>
          </w:tcPr>
          <w:p w:rsidR="002628A8" w:rsidRPr="00800987" w:rsidRDefault="002628A8" w:rsidP="003C2BFE">
            <w:pPr>
              <w:rPr>
                <w:b/>
                <w:bCs/>
                <w:sz w:val="20"/>
                <w:szCs w:val="20"/>
              </w:rPr>
            </w:pPr>
            <w:r w:rsidRPr="00800987">
              <w:rPr>
                <w:b/>
                <w:bCs/>
                <w:sz w:val="20"/>
                <w:szCs w:val="20"/>
              </w:rPr>
              <w:t>Non-</w:t>
            </w:r>
            <w:r w:rsidR="00B46330">
              <w:rPr>
                <w:b/>
                <w:bCs/>
                <w:sz w:val="20"/>
                <w:szCs w:val="20"/>
              </w:rPr>
              <w:t xml:space="preserve">Aboriginal and </w:t>
            </w:r>
            <w:r w:rsidR="006332C4">
              <w:rPr>
                <w:b/>
                <w:bCs/>
                <w:sz w:val="20"/>
                <w:szCs w:val="20"/>
              </w:rPr>
              <w:t>Torres</w:t>
            </w:r>
            <w:r w:rsidR="00B46330">
              <w:rPr>
                <w:b/>
                <w:bCs/>
                <w:sz w:val="20"/>
                <w:szCs w:val="20"/>
              </w:rPr>
              <w:t xml:space="preserve"> Strait Islander</w:t>
            </w:r>
          </w:p>
        </w:tc>
        <w:tc>
          <w:tcPr>
            <w:tcW w:w="1655" w:type="dxa"/>
            <w:hideMark/>
          </w:tcPr>
          <w:p w:rsidR="002628A8" w:rsidRPr="00800987" w:rsidRDefault="00B46330" w:rsidP="003C2B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Aboriginal and </w:t>
            </w:r>
            <w:r w:rsidR="006332C4">
              <w:rPr>
                <w:b/>
                <w:bCs/>
                <w:sz w:val="20"/>
                <w:szCs w:val="20"/>
              </w:rPr>
              <w:t>Torres</w:t>
            </w:r>
            <w:r>
              <w:rPr>
                <w:b/>
                <w:bCs/>
                <w:sz w:val="20"/>
                <w:szCs w:val="20"/>
              </w:rPr>
              <w:t xml:space="preserve"> Strait Islander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b/>
                <w:bCs/>
                <w:sz w:val="20"/>
                <w:szCs w:val="20"/>
              </w:rPr>
            </w:pPr>
            <w:r w:rsidRPr="00800987">
              <w:rPr>
                <w:b/>
                <w:bCs/>
                <w:sz w:val="20"/>
                <w:szCs w:val="20"/>
              </w:rPr>
              <w:t>Not stated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b/>
                <w:bCs/>
                <w:sz w:val="20"/>
                <w:szCs w:val="20"/>
              </w:rPr>
            </w:pPr>
            <w:r w:rsidRPr="00800987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2628A8" w:rsidRPr="00800987" w:rsidTr="003C2BFE">
        <w:tc>
          <w:tcPr>
            <w:tcW w:w="1700" w:type="dxa"/>
            <w:hideMark/>
          </w:tcPr>
          <w:p w:rsidR="002628A8" w:rsidRPr="00800987" w:rsidRDefault="002628A8" w:rsidP="003C2BFE">
            <w:pPr>
              <w:rPr>
                <w:bCs/>
                <w:sz w:val="20"/>
                <w:szCs w:val="20"/>
              </w:rPr>
            </w:pPr>
            <w:r w:rsidRPr="00800987">
              <w:rPr>
                <w:bCs/>
                <w:sz w:val="20"/>
                <w:szCs w:val="20"/>
              </w:rPr>
              <w:t>Australian</w:t>
            </w:r>
          </w:p>
        </w:tc>
        <w:tc>
          <w:tcPr>
            <w:tcW w:w="1619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42699</w:t>
            </w:r>
          </w:p>
        </w:tc>
        <w:tc>
          <w:tcPr>
            <w:tcW w:w="1655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1077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362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44139</w:t>
            </w:r>
          </w:p>
        </w:tc>
      </w:tr>
      <w:tr w:rsidR="002628A8" w:rsidRPr="00800987" w:rsidTr="003C2BFE">
        <w:tc>
          <w:tcPr>
            <w:tcW w:w="1700" w:type="dxa"/>
            <w:hideMark/>
          </w:tcPr>
          <w:p w:rsidR="002628A8" w:rsidRPr="00800987" w:rsidRDefault="002628A8" w:rsidP="003C2BFE">
            <w:pPr>
              <w:rPr>
                <w:bCs/>
                <w:sz w:val="20"/>
                <w:szCs w:val="20"/>
              </w:rPr>
            </w:pPr>
            <w:r w:rsidRPr="00800987">
              <w:rPr>
                <w:bCs/>
                <w:sz w:val="20"/>
                <w:szCs w:val="20"/>
              </w:rPr>
              <w:t xml:space="preserve">Australian </w:t>
            </w:r>
            <w:r w:rsidR="00B46330">
              <w:rPr>
                <w:bCs/>
                <w:sz w:val="20"/>
                <w:szCs w:val="20"/>
              </w:rPr>
              <w:t xml:space="preserve">Aboriginal and </w:t>
            </w:r>
            <w:r w:rsidR="006332C4">
              <w:rPr>
                <w:bCs/>
                <w:sz w:val="20"/>
                <w:szCs w:val="20"/>
              </w:rPr>
              <w:t>Torres</w:t>
            </w:r>
            <w:r w:rsidR="00B46330">
              <w:rPr>
                <w:bCs/>
                <w:sz w:val="20"/>
                <w:szCs w:val="20"/>
              </w:rPr>
              <w:t xml:space="preserve"> Strait Islander</w:t>
            </w:r>
          </w:p>
        </w:tc>
        <w:tc>
          <w:tcPr>
            <w:tcW w:w="1619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26</w:t>
            </w:r>
          </w:p>
        </w:tc>
        <w:tc>
          <w:tcPr>
            <w:tcW w:w="1655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166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0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184</w:t>
            </w:r>
          </w:p>
        </w:tc>
      </w:tr>
      <w:tr w:rsidR="002628A8" w:rsidRPr="00800987" w:rsidTr="003C2BFE">
        <w:tc>
          <w:tcPr>
            <w:tcW w:w="1700" w:type="dxa"/>
            <w:hideMark/>
          </w:tcPr>
          <w:p w:rsidR="002628A8" w:rsidRPr="00800987" w:rsidRDefault="002628A8" w:rsidP="003C2BFE">
            <w:pPr>
              <w:rPr>
                <w:bCs/>
                <w:sz w:val="20"/>
                <w:szCs w:val="20"/>
              </w:rPr>
            </w:pPr>
            <w:r w:rsidRPr="00800987">
              <w:rPr>
                <w:bCs/>
                <w:sz w:val="20"/>
                <w:szCs w:val="20"/>
              </w:rPr>
              <w:t>Maori</w:t>
            </w:r>
          </w:p>
        </w:tc>
        <w:tc>
          <w:tcPr>
            <w:tcW w:w="1619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3238</w:t>
            </w:r>
          </w:p>
        </w:tc>
        <w:tc>
          <w:tcPr>
            <w:tcW w:w="1655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28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3278</w:t>
            </w:r>
          </w:p>
        </w:tc>
      </w:tr>
      <w:tr w:rsidR="002628A8" w:rsidRPr="00800987" w:rsidTr="003C2BFE">
        <w:tc>
          <w:tcPr>
            <w:tcW w:w="1700" w:type="dxa"/>
            <w:hideMark/>
          </w:tcPr>
          <w:p w:rsidR="002628A8" w:rsidRPr="00800987" w:rsidRDefault="002628A8" w:rsidP="003C2BFE">
            <w:pPr>
              <w:rPr>
                <w:bCs/>
                <w:sz w:val="20"/>
                <w:szCs w:val="20"/>
              </w:rPr>
            </w:pPr>
            <w:r w:rsidRPr="00800987">
              <w:rPr>
                <w:bCs/>
                <w:sz w:val="20"/>
                <w:szCs w:val="20"/>
              </w:rPr>
              <w:t>Other Oceania Ancestry Groups</w:t>
            </w:r>
          </w:p>
        </w:tc>
        <w:tc>
          <w:tcPr>
            <w:tcW w:w="1619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6711</w:t>
            </w:r>
          </w:p>
        </w:tc>
        <w:tc>
          <w:tcPr>
            <w:tcW w:w="1655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46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42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6802</w:t>
            </w:r>
          </w:p>
        </w:tc>
      </w:tr>
      <w:tr w:rsidR="002628A8" w:rsidRPr="00800987" w:rsidTr="003C2BFE">
        <w:tc>
          <w:tcPr>
            <w:tcW w:w="1700" w:type="dxa"/>
            <w:hideMark/>
          </w:tcPr>
          <w:p w:rsidR="002628A8" w:rsidRPr="00800987" w:rsidRDefault="002628A8" w:rsidP="003C2BFE">
            <w:pPr>
              <w:rPr>
                <w:bCs/>
                <w:sz w:val="20"/>
                <w:szCs w:val="20"/>
              </w:rPr>
            </w:pPr>
            <w:r w:rsidRPr="00800987">
              <w:rPr>
                <w:bCs/>
                <w:sz w:val="20"/>
                <w:szCs w:val="20"/>
              </w:rPr>
              <w:t>South-East Asian</w:t>
            </w:r>
          </w:p>
        </w:tc>
        <w:tc>
          <w:tcPr>
            <w:tcW w:w="1619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17341</w:t>
            </w:r>
          </w:p>
        </w:tc>
        <w:tc>
          <w:tcPr>
            <w:tcW w:w="1655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12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62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17417</w:t>
            </w:r>
          </w:p>
        </w:tc>
      </w:tr>
      <w:tr w:rsidR="002628A8" w:rsidRPr="00800987" w:rsidTr="003C2BFE">
        <w:tc>
          <w:tcPr>
            <w:tcW w:w="1700" w:type="dxa"/>
            <w:hideMark/>
          </w:tcPr>
          <w:p w:rsidR="002628A8" w:rsidRPr="00800987" w:rsidRDefault="002628A8" w:rsidP="003C2BFE">
            <w:pPr>
              <w:rPr>
                <w:bCs/>
                <w:sz w:val="20"/>
                <w:szCs w:val="20"/>
              </w:rPr>
            </w:pPr>
            <w:r w:rsidRPr="00800987">
              <w:rPr>
                <w:bCs/>
                <w:sz w:val="20"/>
                <w:szCs w:val="20"/>
              </w:rPr>
              <w:t>North-West European</w:t>
            </w:r>
          </w:p>
        </w:tc>
        <w:tc>
          <w:tcPr>
            <w:tcW w:w="1619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79593</w:t>
            </w:r>
          </w:p>
        </w:tc>
        <w:tc>
          <w:tcPr>
            <w:tcW w:w="1655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919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572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81083</w:t>
            </w:r>
          </w:p>
        </w:tc>
      </w:tr>
      <w:tr w:rsidR="002628A8" w:rsidRPr="00800987" w:rsidTr="003C2BFE">
        <w:tc>
          <w:tcPr>
            <w:tcW w:w="1700" w:type="dxa"/>
            <w:hideMark/>
          </w:tcPr>
          <w:p w:rsidR="002628A8" w:rsidRPr="00800987" w:rsidRDefault="002628A8" w:rsidP="003C2BFE">
            <w:pPr>
              <w:rPr>
                <w:bCs/>
                <w:sz w:val="20"/>
                <w:szCs w:val="20"/>
              </w:rPr>
            </w:pPr>
            <w:r w:rsidRPr="00800987">
              <w:rPr>
                <w:bCs/>
                <w:sz w:val="20"/>
                <w:szCs w:val="20"/>
              </w:rPr>
              <w:t>Southern and Eastern European</w:t>
            </w:r>
          </w:p>
        </w:tc>
        <w:tc>
          <w:tcPr>
            <w:tcW w:w="1619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33879</w:t>
            </w:r>
          </w:p>
        </w:tc>
        <w:tc>
          <w:tcPr>
            <w:tcW w:w="1655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108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237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34227</w:t>
            </w:r>
          </w:p>
        </w:tc>
      </w:tr>
      <w:tr w:rsidR="002628A8" w:rsidRPr="00800987" w:rsidTr="003C2BFE">
        <w:tc>
          <w:tcPr>
            <w:tcW w:w="1700" w:type="dxa"/>
            <w:hideMark/>
          </w:tcPr>
          <w:p w:rsidR="002628A8" w:rsidRPr="00800987" w:rsidRDefault="002628A8" w:rsidP="003C2BFE">
            <w:pPr>
              <w:rPr>
                <w:bCs/>
                <w:sz w:val="20"/>
                <w:szCs w:val="20"/>
              </w:rPr>
            </w:pPr>
            <w:r w:rsidRPr="00800987">
              <w:rPr>
                <w:bCs/>
                <w:sz w:val="20"/>
                <w:szCs w:val="20"/>
              </w:rPr>
              <w:t>North African and Middle Eastern</w:t>
            </w:r>
          </w:p>
        </w:tc>
        <w:tc>
          <w:tcPr>
            <w:tcW w:w="1619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7713</w:t>
            </w:r>
          </w:p>
        </w:tc>
        <w:tc>
          <w:tcPr>
            <w:tcW w:w="1655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70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7787</w:t>
            </w:r>
          </w:p>
        </w:tc>
      </w:tr>
      <w:tr w:rsidR="002628A8" w:rsidRPr="00800987" w:rsidTr="003C2BFE">
        <w:tc>
          <w:tcPr>
            <w:tcW w:w="1700" w:type="dxa"/>
            <w:hideMark/>
          </w:tcPr>
          <w:p w:rsidR="002628A8" w:rsidRPr="00800987" w:rsidRDefault="002628A8" w:rsidP="003C2BFE">
            <w:pPr>
              <w:rPr>
                <w:bCs/>
                <w:sz w:val="20"/>
                <w:szCs w:val="20"/>
              </w:rPr>
            </w:pPr>
            <w:r w:rsidRPr="00800987">
              <w:rPr>
                <w:bCs/>
                <w:sz w:val="20"/>
                <w:szCs w:val="20"/>
              </w:rPr>
              <w:t>Other ancestry groups</w:t>
            </w:r>
          </w:p>
        </w:tc>
        <w:tc>
          <w:tcPr>
            <w:tcW w:w="1619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68290</w:t>
            </w:r>
          </w:p>
        </w:tc>
        <w:tc>
          <w:tcPr>
            <w:tcW w:w="1655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34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328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68670</w:t>
            </w:r>
          </w:p>
        </w:tc>
      </w:tr>
      <w:tr w:rsidR="002628A8" w:rsidRPr="00800987" w:rsidTr="003C2BFE">
        <w:tc>
          <w:tcPr>
            <w:tcW w:w="1700" w:type="dxa"/>
            <w:hideMark/>
          </w:tcPr>
          <w:p w:rsidR="002628A8" w:rsidRPr="00800987" w:rsidRDefault="002628A8" w:rsidP="003C2BFE">
            <w:pPr>
              <w:rPr>
                <w:bCs/>
                <w:sz w:val="20"/>
                <w:szCs w:val="20"/>
              </w:rPr>
            </w:pPr>
            <w:r w:rsidRPr="00800987">
              <w:rPr>
                <w:bCs/>
                <w:sz w:val="20"/>
                <w:szCs w:val="20"/>
              </w:rPr>
              <w:t>Not stated</w:t>
            </w:r>
          </w:p>
        </w:tc>
        <w:tc>
          <w:tcPr>
            <w:tcW w:w="1619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149618</w:t>
            </w:r>
          </w:p>
        </w:tc>
        <w:tc>
          <w:tcPr>
            <w:tcW w:w="1655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1077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19953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170645</w:t>
            </w:r>
          </w:p>
        </w:tc>
      </w:tr>
      <w:tr w:rsidR="002628A8" w:rsidRPr="00800987" w:rsidTr="003C2BFE">
        <w:tc>
          <w:tcPr>
            <w:tcW w:w="1700" w:type="dxa"/>
            <w:hideMark/>
          </w:tcPr>
          <w:p w:rsidR="002628A8" w:rsidRPr="00800987" w:rsidRDefault="002628A8" w:rsidP="003C2BFE">
            <w:pPr>
              <w:rPr>
                <w:bCs/>
                <w:sz w:val="20"/>
                <w:szCs w:val="20"/>
              </w:rPr>
            </w:pPr>
            <w:r w:rsidRPr="00800987">
              <w:rPr>
                <w:bCs/>
                <w:sz w:val="20"/>
                <w:szCs w:val="20"/>
              </w:rPr>
              <w:t>Total population</w:t>
            </w:r>
          </w:p>
        </w:tc>
        <w:tc>
          <w:tcPr>
            <w:tcW w:w="1619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204554</w:t>
            </w:r>
          </w:p>
        </w:tc>
        <w:tc>
          <w:tcPr>
            <w:tcW w:w="1655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1733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10827</w:t>
            </w:r>
          </w:p>
        </w:tc>
        <w:tc>
          <w:tcPr>
            <w:tcW w:w="1482" w:type="dxa"/>
            <w:hideMark/>
          </w:tcPr>
          <w:p w:rsidR="002628A8" w:rsidRPr="00800987" w:rsidRDefault="002628A8" w:rsidP="003C2BFE">
            <w:pPr>
              <w:rPr>
                <w:sz w:val="20"/>
                <w:szCs w:val="20"/>
              </w:rPr>
            </w:pPr>
            <w:r w:rsidRPr="00800987">
              <w:rPr>
                <w:sz w:val="20"/>
                <w:szCs w:val="20"/>
              </w:rPr>
              <w:t>217114</w:t>
            </w:r>
          </w:p>
        </w:tc>
      </w:tr>
    </w:tbl>
    <w:p w:rsidR="002628A8" w:rsidRDefault="002628A8" w:rsidP="002628A8">
      <w:pPr>
        <w:rPr>
          <w:b/>
          <w:bCs/>
        </w:rPr>
      </w:pPr>
    </w:p>
    <w:p w:rsidR="002628A8" w:rsidRDefault="002628A8" w:rsidP="002628A8">
      <w:r>
        <w:lastRenderedPageBreak/>
        <w:t xml:space="preserve">Figure 6 below displays the numbers in Table 5 as a proportion of the total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and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populations</w:t>
      </w:r>
      <w:r w:rsidR="00A813C6">
        <w:t xml:space="preserve">. This </w:t>
      </w:r>
      <w:r>
        <w:t>shows the widely diverging patterns between the two cohorts.</w:t>
      </w:r>
    </w:p>
    <w:p w:rsidR="002628A8" w:rsidRDefault="002628A8" w:rsidP="002628A8">
      <w:pPr>
        <w:pStyle w:val="Caption"/>
        <w:keepNext/>
      </w:pPr>
      <w:r>
        <w:t xml:space="preserve">Figure </w:t>
      </w:r>
      <w:r w:rsidR="00C2533F">
        <w:fldChar w:fldCharType="begin"/>
      </w:r>
      <w:r w:rsidR="00C2533F">
        <w:instrText xml:space="preserve"> SEQ Fig</w:instrText>
      </w:r>
      <w:r w:rsidR="00C2533F">
        <w:instrText xml:space="preserve">ure \* ARABIC </w:instrText>
      </w:r>
      <w:r w:rsidR="00C2533F">
        <w:fldChar w:fldCharType="separate"/>
      </w:r>
      <w:r w:rsidR="006A0E61">
        <w:rPr>
          <w:noProof/>
        </w:rPr>
        <w:t>6</w:t>
      </w:r>
      <w:r w:rsidR="00C2533F">
        <w:rPr>
          <w:noProof/>
        </w:rPr>
        <w:fldChar w:fldCharType="end"/>
      </w:r>
      <w:r>
        <w:t xml:space="preserve">: </w:t>
      </w:r>
      <w:r w:rsidRPr="00F713E4">
        <w:t xml:space="preserve">Ancestry by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F713E4">
        <w:t xml:space="preserve"> and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F713E4">
        <w:t xml:space="preserve"> Population (Percentage) – Wyndham</w:t>
      </w:r>
      <w:r w:rsidR="00BC06D9">
        <w:t>,</w:t>
      </w:r>
      <w:r w:rsidRPr="00F713E4">
        <w:t xml:space="preserve"> 2016</w:t>
      </w:r>
    </w:p>
    <w:p w:rsidR="002628A8" w:rsidRDefault="00450555" w:rsidP="002628A8">
      <w:r>
        <w:rPr>
          <w:noProof/>
          <w:lang w:eastAsia="en-AU"/>
        </w:rPr>
        <w:drawing>
          <wp:inline distT="0" distB="0" distL="0" distR="0" wp14:anchorId="5282AED3">
            <wp:extent cx="4320000" cy="2948400"/>
            <wp:effectExtent l="0" t="0" r="444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9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8A8" w:rsidRDefault="005160FC" w:rsidP="002628A8">
      <w:pPr>
        <w:pStyle w:val="Heading2"/>
      </w:pPr>
      <w:r>
        <w:t>Religious A</w:t>
      </w:r>
      <w:r w:rsidR="002628A8">
        <w:t>ffiliation</w:t>
      </w:r>
    </w:p>
    <w:p w:rsidR="002628A8" w:rsidRDefault="002628A8" w:rsidP="002628A8">
      <w:r>
        <w:t xml:space="preserve">As Figure 7 indicates, </w:t>
      </w:r>
      <w:r w:rsidRPr="004B3D4A">
        <w:t xml:space="preserve">less than half of the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 in </w:t>
      </w:r>
      <w:r w:rsidRPr="004B3D4A">
        <w:t>Wyndham report</w:t>
      </w:r>
      <w:r w:rsidR="00450555">
        <w:t>s</w:t>
      </w:r>
      <w:r w:rsidRPr="004B3D4A">
        <w:t xml:space="preserve"> </w:t>
      </w:r>
      <w:r>
        <w:t xml:space="preserve">having </w:t>
      </w:r>
      <w:r w:rsidRPr="004B3D4A">
        <w:t>a Christian faith (40</w:t>
      </w:r>
      <w:r>
        <w:t>.2%) in 2016, which is lower than</w:t>
      </w:r>
      <w:r w:rsidRPr="004B3D4A">
        <w:t xml:space="preserve"> the </w:t>
      </w:r>
      <w:r>
        <w:t>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</w:t>
      </w:r>
      <w:r w:rsidRPr="004B3D4A">
        <w:t xml:space="preserve"> (4</w:t>
      </w:r>
      <w:r>
        <w:t>8.2</w:t>
      </w:r>
      <w:r w:rsidRPr="004B3D4A">
        <w:t>%). The majority of</w:t>
      </w:r>
      <w:r>
        <w:t xml:space="preserve">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pe</w:t>
      </w:r>
      <w:r w:rsidR="00A813C6">
        <w:t>ople in Wyndham indicate having</w:t>
      </w:r>
      <w:r>
        <w:t xml:space="preserve"> </w:t>
      </w:r>
      <w:r w:rsidRPr="00E10F66">
        <w:rPr>
          <w:i/>
        </w:rPr>
        <w:t>‘secular beliefs and other spiritual beliefs and no religion’</w:t>
      </w:r>
      <w:r>
        <w:t>. At 43.7%, this is almost twice the proportion as the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 (23.9%). </w:t>
      </w:r>
    </w:p>
    <w:p w:rsidR="002628A8" w:rsidRDefault="002628A8" w:rsidP="002628A8">
      <w:pPr>
        <w:pStyle w:val="Caption"/>
        <w:keepNext/>
      </w:pPr>
      <w:r>
        <w:t xml:space="preserve">Figure </w:t>
      </w:r>
      <w:r w:rsidR="00C2533F">
        <w:fldChar w:fldCharType="begin"/>
      </w:r>
      <w:r w:rsidR="00C2533F">
        <w:instrText xml:space="preserve"> SEQ Figure \* ARABIC </w:instrText>
      </w:r>
      <w:r w:rsidR="00C2533F">
        <w:fldChar w:fldCharType="separate"/>
      </w:r>
      <w:r w:rsidR="006A0E61">
        <w:rPr>
          <w:noProof/>
        </w:rPr>
        <w:t>7</w:t>
      </w:r>
      <w:r w:rsidR="00C2533F">
        <w:rPr>
          <w:noProof/>
        </w:rPr>
        <w:fldChar w:fldCharType="end"/>
      </w:r>
      <w:r>
        <w:t xml:space="preserve">: Religious </w:t>
      </w:r>
      <w:r w:rsidR="0028167E">
        <w:t>A</w:t>
      </w:r>
      <w:r>
        <w:t xml:space="preserve">ffiliation of the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="0028167E">
        <w:t xml:space="preserve"> and N</w:t>
      </w:r>
      <w:r>
        <w:t>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 – Wyndham, 2016</w:t>
      </w:r>
    </w:p>
    <w:p w:rsidR="002628A8" w:rsidRDefault="00450555" w:rsidP="002628A8">
      <w:r>
        <w:rPr>
          <w:noProof/>
          <w:lang w:eastAsia="en-AU"/>
        </w:rPr>
        <w:drawing>
          <wp:inline distT="0" distB="0" distL="0" distR="0" wp14:anchorId="369584F3">
            <wp:extent cx="2520000" cy="168840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7538E9BA">
            <wp:extent cx="2520000" cy="168840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8A8" w:rsidRDefault="002628A8" w:rsidP="002628A8">
      <w:pPr>
        <w:pStyle w:val="Heading2"/>
      </w:pPr>
      <w:r>
        <w:t xml:space="preserve">Language </w:t>
      </w:r>
      <w:r w:rsidR="005160FC">
        <w:t>S</w:t>
      </w:r>
      <w:r>
        <w:t xml:space="preserve">poken at </w:t>
      </w:r>
      <w:r w:rsidR="005160FC">
        <w:t>H</w:t>
      </w:r>
      <w:r>
        <w:t>ome</w:t>
      </w:r>
    </w:p>
    <w:p w:rsidR="002628A8" w:rsidRDefault="002628A8" w:rsidP="00A813C6">
      <w:r>
        <w:t xml:space="preserve">The ‘Not stated’ category notwithstanding, there are 8 languages spoken at home by the Wyndham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population. By far the largest is English, which 86.7% of the population speaks (Table 6). The appearance of Auslan (a sign language) in this table is consistent </w:t>
      </w:r>
      <w:r>
        <w:lastRenderedPageBreak/>
        <w:t xml:space="preserve">with findings that the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 suffers from hearing loss to a greater degree than non-Indigenous people do</w:t>
      </w:r>
      <w:r>
        <w:rPr>
          <w:rStyle w:val="FootnoteReference"/>
        </w:rPr>
        <w:footnoteReference w:id="2"/>
      </w:r>
      <w:r w:rsidR="00A813C6">
        <w:t xml:space="preserve"> due to disadvantage and poverty, a number of environmental factors, individual genetics and microbial genomic factors</w:t>
      </w:r>
      <w:r w:rsidR="00A813C6">
        <w:rPr>
          <w:rStyle w:val="FootnoteReference"/>
        </w:rPr>
        <w:footnoteReference w:id="3"/>
      </w:r>
      <w:r w:rsidR="00A813C6">
        <w:t>.</w:t>
      </w:r>
    </w:p>
    <w:p w:rsidR="002628A8" w:rsidRDefault="002628A8" w:rsidP="002628A8">
      <w:pPr>
        <w:pStyle w:val="Caption"/>
        <w:keepNext/>
      </w:pPr>
      <w:r>
        <w:t xml:space="preserve">Table </w:t>
      </w:r>
      <w:r w:rsidR="00C2533F">
        <w:fldChar w:fldCharType="begin"/>
      </w:r>
      <w:r w:rsidR="00C2533F">
        <w:instrText xml:space="preserve"> SEQ Table \* ARABIC </w:instrText>
      </w:r>
      <w:r w:rsidR="00C2533F">
        <w:fldChar w:fldCharType="separate"/>
      </w:r>
      <w:r w:rsidR="006A0E61">
        <w:rPr>
          <w:noProof/>
        </w:rPr>
        <w:t>6</w:t>
      </w:r>
      <w:r w:rsidR="00C2533F">
        <w:rPr>
          <w:noProof/>
        </w:rPr>
        <w:fldChar w:fldCharType="end"/>
      </w:r>
      <w:r w:rsidR="0028167E">
        <w:t>: Language S</w:t>
      </w:r>
      <w:r>
        <w:t xml:space="preserve">poken at </w:t>
      </w:r>
      <w:r w:rsidR="0028167E">
        <w:t>H</w:t>
      </w:r>
      <w:r>
        <w:t xml:space="preserve">ome by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="0028167E">
        <w:t xml:space="preserve"> R</w:t>
      </w:r>
      <w:r>
        <w:t>esidents - Wyndham, 2016</w:t>
      </w:r>
    </w:p>
    <w:tbl>
      <w:tblPr>
        <w:tblStyle w:val="TableGrid"/>
        <w:tblW w:w="6430" w:type="dxa"/>
        <w:tblLook w:val="04A0" w:firstRow="1" w:lastRow="0" w:firstColumn="1" w:lastColumn="0" w:noHBand="0" w:noVBand="1"/>
      </w:tblPr>
      <w:tblGrid>
        <w:gridCol w:w="3510"/>
        <w:gridCol w:w="1418"/>
        <w:gridCol w:w="1502"/>
      </w:tblGrid>
      <w:tr w:rsidR="002628A8" w:rsidRPr="008E3B7A" w:rsidTr="003C2BFE">
        <w:tc>
          <w:tcPr>
            <w:tcW w:w="3510" w:type="dxa"/>
          </w:tcPr>
          <w:p w:rsidR="002628A8" w:rsidRPr="008E3B7A" w:rsidRDefault="002628A8" w:rsidP="003C2BFE">
            <w:pPr>
              <w:rPr>
                <w:b/>
                <w:sz w:val="20"/>
                <w:szCs w:val="20"/>
              </w:rPr>
            </w:pPr>
            <w:r w:rsidRPr="008E3B7A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1418" w:type="dxa"/>
          </w:tcPr>
          <w:p w:rsidR="002628A8" w:rsidRPr="008E3B7A" w:rsidRDefault="00B46330" w:rsidP="003C2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Aboriginal and </w:t>
            </w:r>
            <w:r w:rsidR="006332C4">
              <w:rPr>
                <w:b/>
                <w:sz w:val="20"/>
                <w:szCs w:val="20"/>
              </w:rPr>
              <w:t>Torres</w:t>
            </w:r>
            <w:r>
              <w:rPr>
                <w:b/>
                <w:sz w:val="20"/>
                <w:szCs w:val="20"/>
              </w:rPr>
              <w:t xml:space="preserve"> Strait Islander</w:t>
            </w:r>
            <w:r w:rsidR="002628A8" w:rsidRPr="008E3B7A">
              <w:rPr>
                <w:b/>
                <w:sz w:val="20"/>
                <w:szCs w:val="20"/>
              </w:rPr>
              <w:t xml:space="preserve"> population</w:t>
            </w:r>
          </w:p>
        </w:tc>
        <w:tc>
          <w:tcPr>
            <w:tcW w:w="1502" w:type="dxa"/>
          </w:tcPr>
          <w:p w:rsidR="002628A8" w:rsidRPr="008E3B7A" w:rsidRDefault="00B46330" w:rsidP="003C2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Aboriginal and </w:t>
            </w:r>
            <w:r w:rsidR="006332C4">
              <w:rPr>
                <w:b/>
                <w:sz w:val="20"/>
                <w:szCs w:val="20"/>
              </w:rPr>
              <w:t>Torres</w:t>
            </w:r>
            <w:r>
              <w:rPr>
                <w:b/>
                <w:sz w:val="20"/>
                <w:szCs w:val="20"/>
              </w:rPr>
              <w:t xml:space="preserve"> Strait Islander</w:t>
            </w:r>
            <w:r w:rsidR="002628A8" w:rsidRPr="008E3B7A">
              <w:rPr>
                <w:b/>
                <w:sz w:val="20"/>
                <w:szCs w:val="20"/>
              </w:rPr>
              <w:t xml:space="preserve"> population (%)</w:t>
            </w:r>
          </w:p>
        </w:tc>
      </w:tr>
      <w:tr w:rsidR="002628A8" w:rsidRPr="001F27FD" w:rsidTr="003C2BFE">
        <w:tc>
          <w:tcPr>
            <w:tcW w:w="3510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1,503</w:t>
            </w:r>
          </w:p>
        </w:tc>
        <w:tc>
          <w:tcPr>
            <w:tcW w:w="1502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86.7%</w:t>
            </w:r>
          </w:p>
        </w:tc>
      </w:tr>
      <w:tr w:rsidR="002628A8" w:rsidRPr="001F27FD" w:rsidTr="003C2BFE">
        <w:tc>
          <w:tcPr>
            <w:tcW w:w="3510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Arabic</w:t>
            </w:r>
          </w:p>
        </w:tc>
        <w:tc>
          <w:tcPr>
            <w:tcW w:w="1418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16</w:t>
            </w:r>
          </w:p>
        </w:tc>
        <w:tc>
          <w:tcPr>
            <w:tcW w:w="1502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0.9%</w:t>
            </w:r>
          </w:p>
        </w:tc>
      </w:tr>
      <w:tr w:rsidR="002628A8" w:rsidRPr="001F27FD" w:rsidTr="003C2BFE">
        <w:tc>
          <w:tcPr>
            <w:tcW w:w="3510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Spanish</w:t>
            </w:r>
          </w:p>
        </w:tc>
        <w:tc>
          <w:tcPr>
            <w:tcW w:w="1418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0.3%</w:t>
            </w:r>
          </w:p>
        </w:tc>
      </w:tr>
      <w:tr w:rsidR="002628A8" w:rsidRPr="001F27FD" w:rsidTr="003C2BFE">
        <w:tc>
          <w:tcPr>
            <w:tcW w:w="3510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Italian</w:t>
            </w:r>
          </w:p>
        </w:tc>
        <w:tc>
          <w:tcPr>
            <w:tcW w:w="1418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0.3%</w:t>
            </w:r>
          </w:p>
        </w:tc>
      </w:tr>
      <w:tr w:rsidR="002628A8" w:rsidRPr="001F27FD" w:rsidTr="003C2BFE">
        <w:tc>
          <w:tcPr>
            <w:tcW w:w="3510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Vietnamese</w:t>
            </w:r>
          </w:p>
        </w:tc>
        <w:tc>
          <w:tcPr>
            <w:tcW w:w="1418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0.2%</w:t>
            </w:r>
          </w:p>
        </w:tc>
      </w:tr>
      <w:tr w:rsidR="002628A8" w:rsidRPr="001F27FD" w:rsidTr="003C2BFE">
        <w:tc>
          <w:tcPr>
            <w:tcW w:w="3510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Auslan</w:t>
            </w:r>
          </w:p>
        </w:tc>
        <w:tc>
          <w:tcPr>
            <w:tcW w:w="1418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0.2%</w:t>
            </w:r>
          </w:p>
        </w:tc>
      </w:tr>
      <w:tr w:rsidR="002628A8" w:rsidRPr="001F27FD" w:rsidTr="003C2BFE">
        <w:tc>
          <w:tcPr>
            <w:tcW w:w="3510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Guugu Yimidhirr</w:t>
            </w:r>
          </w:p>
        </w:tc>
        <w:tc>
          <w:tcPr>
            <w:tcW w:w="1418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0.2%</w:t>
            </w:r>
          </w:p>
        </w:tc>
      </w:tr>
      <w:tr w:rsidR="002628A8" w:rsidRPr="001F27FD" w:rsidTr="003C2BFE">
        <w:tc>
          <w:tcPr>
            <w:tcW w:w="3510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Pr="001F27FD">
              <w:rPr>
                <w:sz w:val="20"/>
                <w:szCs w:val="20"/>
              </w:rPr>
              <w:t>Australian Indigenous Languages</w:t>
            </w:r>
          </w:p>
        </w:tc>
        <w:tc>
          <w:tcPr>
            <w:tcW w:w="1418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2628A8" w:rsidRPr="001F27FD" w:rsidRDefault="002628A8" w:rsidP="003C2BFE">
            <w:pPr>
              <w:rPr>
                <w:sz w:val="20"/>
                <w:szCs w:val="20"/>
              </w:rPr>
            </w:pPr>
            <w:r w:rsidRPr="001F27FD">
              <w:rPr>
                <w:sz w:val="20"/>
                <w:szCs w:val="20"/>
              </w:rPr>
              <w:t>0.2%</w:t>
            </w:r>
          </w:p>
        </w:tc>
      </w:tr>
    </w:tbl>
    <w:p w:rsidR="002628A8" w:rsidRDefault="002628A8" w:rsidP="002628A8"/>
    <w:p w:rsidR="002628A8" w:rsidRDefault="002628A8" w:rsidP="002628A8">
      <w:r>
        <w:t>The language profile of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residents in Wyndham is very different. A total of 172 languages are represented, and a much lower proportion speaks English at home (55.2%). In addition, languages from the Indian subcontinent are prevalent in the top 8 languages spoken – a reflection of Wyndham’s overall demographic make-up.</w:t>
      </w:r>
    </w:p>
    <w:p w:rsidR="002628A8" w:rsidRDefault="002628A8" w:rsidP="002628A8">
      <w:pPr>
        <w:pStyle w:val="Heading2"/>
      </w:pPr>
      <w:r>
        <w:t>Migration</w:t>
      </w:r>
    </w:p>
    <w:p w:rsidR="002628A8" w:rsidRDefault="002628A8" w:rsidP="002628A8">
      <w:r>
        <w:t xml:space="preserve">Figure 8 displays data on the location of Wyndham 2011 residents in 2006. </w:t>
      </w:r>
      <w:r w:rsidRPr="007A4571">
        <w:t xml:space="preserve">Over half (52.8%) of Wyndham’s 2011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residents lived in the municipality in 2006, which is less than the proportion of Wyndham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residents (58.9%). One quarter of 2011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residents had migrated into Wyndham between 2006 and 2011</w:t>
      </w:r>
      <w:r>
        <w:t>. T</w:t>
      </w:r>
      <w:r w:rsidRPr="007A4571">
        <w:t>his compares to 29% for the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population</w:t>
      </w:r>
      <w:r>
        <w:t xml:space="preserve"> (Figure 8)</w:t>
      </w:r>
      <w:r w:rsidRPr="007A4571">
        <w:t xml:space="preserve">. The Wyndham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community in 2011 had a larger proportion (9.5%) of its population living in other parts of Australia in 2006 than the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community (3.2%).</w:t>
      </w:r>
    </w:p>
    <w:p w:rsidR="002628A8" w:rsidRPr="007A4571" w:rsidRDefault="002628A8" w:rsidP="002628A8">
      <w:r>
        <w:t>The ‘</w:t>
      </w:r>
      <w:r w:rsidRPr="007A4571">
        <w:t>Not applicable</w:t>
      </w:r>
      <w:r>
        <w:t>’ category</w:t>
      </w:r>
      <w:r w:rsidRPr="007A4571">
        <w:t xml:space="preserve"> </w:t>
      </w:r>
      <w:r>
        <w:t xml:space="preserve">largely covers </w:t>
      </w:r>
      <w:r w:rsidRPr="007A4571">
        <w:t xml:space="preserve">children born between 2006 and 2011. The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community has a larger proportion of non-ap</w:t>
      </w:r>
      <w:r>
        <w:t>plicable residents than the non</w:t>
      </w:r>
      <w:r w:rsidR="00A813C6">
        <w:t xml:space="preserve">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population</w:t>
      </w:r>
      <w:r>
        <w:t xml:space="preserve"> (13.6% and 9.2% respectively). This is </w:t>
      </w:r>
      <w:r w:rsidRPr="007A4571">
        <w:t xml:space="preserve">connected to the younger age profile of the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community discussed earlier (see Tables 3 and 4).</w:t>
      </w:r>
    </w:p>
    <w:p w:rsidR="002628A8" w:rsidRDefault="002628A8" w:rsidP="002628A8">
      <w:pPr>
        <w:pStyle w:val="Caption"/>
        <w:keepNext/>
      </w:pPr>
      <w:r>
        <w:lastRenderedPageBreak/>
        <w:t xml:space="preserve">Figure </w:t>
      </w:r>
      <w:r w:rsidR="00C2533F">
        <w:fldChar w:fldCharType="begin"/>
      </w:r>
      <w:r w:rsidR="00C2533F">
        <w:instrText xml:space="preserve"> SEQ Figure \* ARABIC </w:instrText>
      </w:r>
      <w:r w:rsidR="00C2533F">
        <w:fldChar w:fldCharType="separate"/>
      </w:r>
      <w:r w:rsidR="006A0E61">
        <w:rPr>
          <w:noProof/>
        </w:rPr>
        <w:t>8</w:t>
      </w:r>
      <w:r w:rsidR="00C2533F">
        <w:rPr>
          <w:noProof/>
        </w:rPr>
        <w:fldChar w:fldCharType="end"/>
      </w:r>
      <w:r>
        <w:t xml:space="preserve">: </w:t>
      </w:r>
      <w:r w:rsidRPr="001E0BFC">
        <w:t xml:space="preserve">Location of 2011 </w:t>
      </w:r>
      <w:r>
        <w:t>Wyndh</w:t>
      </w:r>
      <w:r w:rsidR="00BC06D9">
        <w:t>am Residents</w:t>
      </w:r>
      <w:r w:rsidR="0028167E">
        <w:t xml:space="preserve"> in</w:t>
      </w:r>
      <w:r>
        <w:t xml:space="preserve"> 2006</w:t>
      </w:r>
    </w:p>
    <w:p w:rsidR="002628A8" w:rsidRDefault="00450555" w:rsidP="002628A8">
      <w:r>
        <w:rPr>
          <w:noProof/>
          <w:lang w:eastAsia="en-AU"/>
        </w:rPr>
        <w:drawing>
          <wp:inline distT="0" distB="0" distL="0" distR="0" wp14:anchorId="5AC025A5">
            <wp:extent cx="4320000" cy="2599200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8A8" w:rsidRDefault="002628A8" w:rsidP="002628A8">
      <w:r>
        <w:t xml:space="preserve">The data in Figure 9 displays the location in 2011 of those who were Wyndham residents in 2006. This data </w:t>
      </w:r>
      <w:r w:rsidRPr="007A4571">
        <w:t>does not include people who have moved overseas and who ha</w:t>
      </w:r>
      <w:r>
        <w:t>ve</w:t>
      </w:r>
      <w:r w:rsidRPr="007A4571">
        <w:t xml:space="preserve"> died between 2006 and 2011.</w:t>
      </w:r>
    </w:p>
    <w:p w:rsidR="002628A8" w:rsidRPr="007A4571" w:rsidRDefault="002628A8" w:rsidP="002628A8">
      <w:r>
        <w:t xml:space="preserve">The figure </w:t>
      </w:r>
      <w:r w:rsidR="00B479F8">
        <w:t>shows</w:t>
      </w:r>
      <w:r>
        <w:t xml:space="preserve"> that a</w:t>
      </w:r>
      <w:r w:rsidRPr="007A4571">
        <w:t xml:space="preserve"> larger proportion of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residents had left Wyndham (21.7%) than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residents (15.8%) between 2006 and 2011. </w:t>
      </w:r>
    </w:p>
    <w:p w:rsidR="002628A8" w:rsidRDefault="002628A8" w:rsidP="002628A8">
      <w:r w:rsidRPr="007A4571">
        <w:t xml:space="preserve">In the 2006 Census 708 residents identified as being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>. However,</w:t>
      </w:r>
      <w:r w:rsidRPr="007A4571">
        <w:t xml:space="preserve"> from the 2011 Census, 768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residents said they were living in Wyndham in 2006, a positive difference of 60. A likely explanation for this difference is that people are becoming more confident in identifying as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>.</w:t>
      </w:r>
    </w:p>
    <w:p w:rsidR="002628A8" w:rsidRDefault="002628A8" w:rsidP="002628A8">
      <w:pPr>
        <w:pStyle w:val="Caption"/>
        <w:keepNext/>
      </w:pPr>
      <w:r>
        <w:t xml:space="preserve">Figure </w:t>
      </w:r>
      <w:r w:rsidR="00C2533F">
        <w:fldChar w:fldCharType="begin"/>
      </w:r>
      <w:r w:rsidR="00C2533F">
        <w:instrText xml:space="preserve"> SEQ Figure \* ARABIC </w:instrText>
      </w:r>
      <w:r w:rsidR="00C2533F">
        <w:fldChar w:fldCharType="separate"/>
      </w:r>
      <w:r w:rsidR="006A0E61">
        <w:rPr>
          <w:noProof/>
        </w:rPr>
        <w:t>9</w:t>
      </w:r>
      <w:r w:rsidR="00C2533F">
        <w:rPr>
          <w:noProof/>
        </w:rPr>
        <w:fldChar w:fldCharType="end"/>
      </w:r>
      <w:r>
        <w:t xml:space="preserve">: </w:t>
      </w:r>
      <w:r w:rsidRPr="00566F63">
        <w:t xml:space="preserve">Location of 2006 </w:t>
      </w:r>
      <w:r>
        <w:t xml:space="preserve">Wyndham </w:t>
      </w:r>
      <w:r w:rsidRPr="00566F63">
        <w:t>Residents</w:t>
      </w:r>
      <w:r w:rsidR="0028167E">
        <w:t xml:space="preserve"> in</w:t>
      </w:r>
      <w:r w:rsidRPr="00566F63">
        <w:t xml:space="preserve"> 2011</w:t>
      </w:r>
    </w:p>
    <w:p w:rsidR="002628A8" w:rsidRDefault="00450555" w:rsidP="002628A8">
      <w:r>
        <w:rPr>
          <w:noProof/>
          <w:lang w:eastAsia="en-AU"/>
        </w:rPr>
        <w:drawing>
          <wp:inline distT="0" distB="0" distL="0" distR="0" wp14:anchorId="61F929E5">
            <wp:extent cx="4320000" cy="2696400"/>
            <wp:effectExtent l="0" t="0" r="4445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6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8A8" w:rsidRDefault="005160FC" w:rsidP="002628A8">
      <w:pPr>
        <w:pStyle w:val="Heading2"/>
      </w:pPr>
      <w:r>
        <w:lastRenderedPageBreak/>
        <w:t>Household T</w:t>
      </w:r>
      <w:r w:rsidR="002628A8">
        <w:t>ype</w:t>
      </w:r>
    </w:p>
    <w:p w:rsidR="002628A8" w:rsidRDefault="002628A8" w:rsidP="002628A8">
      <w:r w:rsidRPr="007A4571">
        <w:t>In 201</w:t>
      </w:r>
      <w:r>
        <w:t>6</w:t>
      </w:r>
      <w:r w:rsidRPr="007A4571">
        <w:t xml:space="preserve"> a larger proportion of the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population (</w:t>
      </w:r>
      <w:r>
        <w:t>29.8</w:t>
      </w:r>
      <w:r w:rsidRPr="007A4571">
        <w:t xml:space="preserve">%) </w:t>
      </w:r>
      <w:r w:rsidR="00C41418">
        <w:t>are</w:t>
      </w:r>
      <w:r w:rsidRPr="007A4571">
        <w:t xml:space="preserve"> living as single parent family households than </w:t>
      </w:r>
      <w:r>
        <w:t>Wyndham’s total population (10.2</w:t>
      </w:r>
      <w:r w:rsidRPr="007A4571">
        <w:t>%).</w:t>
      </w:r>
      <w:r>
        <w:t xml:space="preserve"> The proportion is also higher than for the Victorian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 (25.5%). As a result, the average household size for Wyndham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people is 2.27, while for the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 this is 2.74. </w:t>
      </w:r>
      <w:r w:rsidR="00B479F8">
        <w:t xml:space="preserve">As shown in Table 7,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Wyndham residents are more likely to live in group households, and are less likely to live alone, than the overall Wyndham population. The percentages in Table 7 for the Wyndham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 have remained largely unchanged since 2011.</w:t>
      </w:r>
    </w:p>
    <w:p w:rsidR="002628A8" w:rsidRDefault="002628A8" w:rsidP="002628A8">
      <w:pPr>
        <w:pStyle w:val="Caption"/>
        <w:keepNext/>
      </w:pPr>
      <w:r>
        <w:t xml:space="preserve">Table </w:t>
      </w:r>
      <w:r w:rsidR="00C2533F">
        <w:fldChar w:fldCharType="begin"/>
      </w:r>
      <w:r w:rsidR="00C2533F">
        <w:instrText xml:space="preserve"> SEQ Table \* ARABIC </w:instrText>
      </w:r>
      <w:r w:rsidR="00C2533F">
        <w:fldChar w:fldCharType="separate"/>
      </w:r>
      <w:r w:rsidR="006A0E61">
        <w:rPr>
          <w:noProof/>
        </w:rPr>
        <w:t>7</w:t>
      </w:r>
      <w:r w:rsidR="00C2533F">
        <w:rPr>
          <w:noProof/>
        </w:rPr>
        <w:fldChar w:fldCharType="end"/>
      </w:r>
      <w:r>
        <w:t xml:space="preserve">: </w:t>
      </w:r>
      <w:r w:rsidR="0028167E">
        <w:t>Household T</w:t>
      </w:r>
      <w:r w:rsidRPr="007C4D03">
        <w:t xml:space="preserve">ype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C4D03">
        <w:t xml:space="preserve"> and </w:t>
      </w:r>
      <w:r>
        <w:t>Total Population - Wyndham, 2016</w:t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1237"/>
        <w:gridCol w:w="1158"/>
        <w:gridCol w:w="1221"/>
        <w:gridCol w:w="940"/>
        <w:gridCol w:w="1221"/>
        <w:gridCol w:w="940"/>
        <w:gridCol w:w="1221"/>
      </w:tblGrid>
      <w:tr w:rsidR="002628A8" w:rsidRPr="008E3B7A" w:rsidTr="003C2BFE">
        <w:tc>
          <w:tcPr>
            <w:tcW w:w="1150" w:type="dxa"/>
          </w:tcPr>
          <w:p w:rsidR="002628A8" w:rsidRPr="008E3B7A" w:rsidRDefault="002628A8" w:rsidP="003C2BFE">
            <w:pPr>
              <w:rPr>
                <w:b/>
                <w:sz w:val="20"/>
                <w:szCs w:val="20"/>
              </w:rPr>
            </w:pPr>
            <w:r w:rsidRPr="008E3B7A">
              <w:rPr>
                <w:b/>
                <w:sz w:val="20"/>
                <w:szCs w:val="20"/>
              </w:rPr>
              <w:t>Household type</w:t>
            </w:r>
          </w:p>
        </w:tc>
        <w:tc>
          <w:tcPr>
            <w:tcW w:w="2210" w:type="dxa"/>
            <w:gridSpan w:val="2"/>
          </w:tcPr>
          <w:p w:rsidR="002628A8" w:rsidRPr="008E3B7A" w:rsidRDefault="002628A8" w:rsidP="003C2BFE">
            <w:pPr>
              <w:jc w:val="center"/>
              <w:rPr>
                <w:b/>
                <w:sz w:val="20"/>
                <w:szCs w:val="20"/>
              </w:rPr>
            </w:pPr>
            <w:r w:rsidRPr="008E3B7A">
              <w:rPr>
                <w:b/>
                <w:sz w:val="20"/>
                <w:szCs w:val="20"/>
              </w:rPr>
              <w:t xml:space="preserve">Wyndham </w:t>
            </w:r>
            <w:r w:rsidR="00B46330">
              <w:rPr>
                <w:b/>
                <w:sz w:val="20"/>
                <w:szCs w:val="20"/>
              </w:rPr>
              <w:t xml:space="preserve">Aboriginal and </w:t>
            </w:r>
            <w:r w:rsidR="006332C4">
              <w:rPr>
                <w:b/>
                <w:sz w:val="20"/>
                <w:szCs w:val="20"/>
              </w:rPr>
              <w:t>Torres</w:t>
            </w:r>
            <w:r w:rsidR="00B46330">
              <w:rPr>
                <w:b/>
                <w:sz w:val="20"/>
                <w:szCs w:val="20"/>
              </w:rPr>
              <w:t xml:space="preserve"> Strait Islander</w:t>
            </w:r>
          </w:p>
        </w:tc>
        <w:tc>
          <w:tcPr>
            <w:tcW w:w="2007" w:type="dxa"/>
            <w:gridSpan w:val="2"/>
          </w:tcPr>
          <w:p w:rsidR="002628A8" w:rsidRPr="008E3B7A" w:rsidRDefault="002628A8" w:rsidP="003C2BFE">
            <w:pPr>
              <w:jc w:val="center"/>
              <w:rPr>
                <w:b/>
                <w:sz w:val="20"/>
                <w:szCs w:val="20"/>
              </w:rPr>
            </w:pPr>
            <w:r w:rsidRPr="008E3B7A">
              <w:rPr>
                <w:b/>
                <w:sz w:val="20"/>
                <w:szCs w:val="20"/>
              </w:rPr>
              <w:t>Wyndham Total Population</w:t>
            </w:r>
          </w:p>
        </w:tc>
        <w:tc>
          <w:tcPr>
            <w:tcW w:w="2007" w:type="dxa"/>
            <w:gridSpan w:val="2"/>
          </w:tcPr>
          <w:p w:rsidR="002628A8" w:rsidRPr="008E3B7A" w:rsidRDefault="002628A8" w:rsidP="003C2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Victoria </w:t>
            </w:r>
            <w:r w:rsidR="00B46330">
              <w:rPr>
                <w:b/>
                <w:sz w:val="20"/>
                <w:szCs w:val="20"/>
              </w:rPr>
              <w:t xml:space="preserve">Aboriginal and </w:t>
            </w:r>
            <w:r w:rsidR="006332C4">
              <w:rPr>
                <w:b/>
                <w:sz w:val="20"/>
                <w:szCs w:val="20"/>
              </w:rPr>
              <w:t>Torres</w:t>
            </w:r>
            <w:r w:rsidR="00B46330">
              <w:rPr>
                <w:b/>
                <w:sz w:val="20"/>
                <w:szCs w:val="20"/>
              </w:rPr>
              <w:t xml:space="preserve"> Strait Islander</w:t>
            </w:r>
          </w:p>
        </w:tc>
      </w:tr>
      <w:tr w:rsidR="002628A8" w:rsidRPr="008E3B7A" w:rsidTr="003C2BFE">
        <w:tc>
          <w:tcPr>
            <w:tcW w:w="1150" w:type="dxa"/>
          </w:tcPr>
          <w:p w:rsidR="002628A8" w:rsidRPr="008E3B7A" w:rsidRDefault="002628A8" w:rsidP="003C2BF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2628A8" w:rsidRPr="00E427A4" w:rsidRDefault="002628A8" w:rsidP="003C2BFE">
            <w:pPr>
              <w:rPr>
                <w:i/>
                <w:sz w:val="20"/>
                <w:szCs w:val="20"/>
              </w:rPr>
            </w:pPr>
            <w:r w:rsidRPr="00E427A4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1134" w:type="dxa"/>
          </w:tcPr>
          <w:p w:rsidR="002628A8" w:rsidRPr="00E427A4" w:rsidRDefault="002628A8" w:rsidP="003C2BFE">
            <w:pPr>
              <w:rPr>
                <w:i/>
                <w:sz w:val="20"/>
                <w:szCs w:val="20"/>
              </w:rPr>
            </w:pPr>
            <w:r w:rsidRPr="00E427A4">
              <w:rPr>
                <w:i/>
                <w:sz w:val="20"/>
                <w:szCs w:val="20"/>
              </w:rPr>
              <w:t>Percentage</w:t>
            </w:r>
          </w:p>
        </w:tc>
        <w:tc>
          <w:tcPr>
            <w:tcW w:w="873" w:type="dxa"/>
          </w:tcPr>
          <w:p w:rsidR="002628A8" w:rsidRPr="00E427A4" w:rsidRDefault="002628A8" w:rsidP="003C2BFE">
            <w:pPr>
              <w:rPr>
                <w:i/>
                <w:sz w:val="20"/>
                <w:szCs w:val="20"/>
              </w:rPr>
            </w:pPr>
            <w:r w:rsidRPr="00E427A4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1134" w:type="dxa"/>
          </w:tcPr>
          <w:p w:rsidR="002628A8" w:rsidRPr="00E427A4" w:rsidRDefault="002628A8" w:rsidP="003C2BFE">
            <w:pPr>
              <w:rPr>
                <w:i/>
                <w:sz w:val="20"/>
                <w:szCs w:val="20"/>
              </w:rPr>
            </w:pPr>
            <w:r w:rsidRPr="00E427A4">
              <w:rPr>
                <w:i/>
                <w:sz w:val="20"/>
                <w:szCs w:val="20"/>
              </w:rPr>
              <w:t>Percentage</w:t>
            </w:r>
          </w:p>
        </w:tc>
        <w:tc>
          <w:tcPr>
            <w:tcW w:w="873" w:type="dxa"/>
          </w:tcPr>
          <w:p w:rsidR="002628A8" w:rsidRPr="00E427A4" w:rsidRDefault="002628A8" w:rsidP="003C2BFE">
            <w:pPr>
              <w:rPr>
                <w:i/>
                <w:sz w:val="20"/>
                <w:szCs w:val="20"/>
              </w:rPr>
            </w:pPr>
            <w:r w:rsidRPr="00E427A4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1134" w:type="dxa"/>
          </w:tcPr>
          <w:p w:rsidR="002628A8" w:rsidRPr="00E427A4" w:rsidRDefault="002628A8" w:rsidP="003C2BFE">
            <w:pPr>
              <w:rPr>
                <w:i/>
                <w:sz w:val="20"/>
                <w:szCs w:val="20"/>
              </w:rPr>
            </w:pPr>
            <w:r w:rsidRPr="00E427A4">
              <w:rPr>
                <w:i/>
                <w:sz w:val="20"/>
                <w:szCs w:val="20"/>
              </w:rPr>
              <w:t>Percentage</w:t>
            </w:r>
          </w:p>
        </w:tc>
      </w:tr>
      <w:tr w:rsidR="002628A8" w:rsidRPr="008E3B7A" w:rsidTr="003C2BFE">
        <w:tc>
          <w:tcPr>
            <w:tcW w:w="1150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Couples with children</w:t>
            </w:r>
          </w:p>
        </w:tc>
        <w:tc>
          <w:tcPr>
            <w:tcW w:w="1076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13.8%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13,824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18.4%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6,960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29.3%</w:t>
            </w:r>
          </w:p>
        </w:tc>
      </w:tr>
      <w:tr w:rsidR="002628A8" w:rsidRPr="008E3B7A" w:rsidTr="003C2BFE">
        <w:tc>
          <w:tcPr>
            <w:tcW w:w="1150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Couples without children</w:t>
            </w:r>
          </w:p>
        </w:tc>
        <w:tc>
          <w:tcPr>
            <w:tcW w:w="1076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281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36.9%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30,639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40.7%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4,033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17.0%</w:t>
            </w:r>
          </w:p>
        </w:tc>
      </w:tr>
      <w:tr w:rsidR="002628A8" w:rsidRPr="008E3B7A" w:rsidTr="003C2BFE">
        <w:tc>
          <w:tcPr>
            <w:tcW w:w="1150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One parent families</w:t>
            </w:r>
          </w:p>
        </w:tc>
        <w:tc>
          <w:tcPr>
            <w:tcW w:w="1076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227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29.8%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7,688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10.2%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6,070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25.5%</w:t>
            </w:r>
          </w:p>
        </w:tc>
      </w:tr>
      <w:tr w:rsidR="002628A8" w:rsidRPr="008E3B7A" w:rsidTr="003C2BFE">
        <w:tc>
          <w:tcPr>
            <w:tcW w:w="1150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Other families</w:t>
            </w:r>
          </w:p>
        </w:tc>
        <w:tc>
          <w:tcPr>
            <w:tcW w:w="1076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4.6%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11,337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15.1%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1,221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5.1%</w:t>
            </w:r>
          </w:p>
        </w:tc>
      </w:tr>
      <w:tr w:rsidR="002628A8" w:rsidRPr="008E3B7A" w:rsidTr="003C2BFE">
        <w:tc>
          <w:tcPr>
            <w:tcW w:w="1150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Group households</w:t>
            </w:r>
          </w:p>
        </w:tc>
        <w:tc>
          <w:tcPr>
            <w:tcW w:w="1076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5.4%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1,708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2.3%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1,746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7.3%</w:t>
            </w:r>
          </w:p>
        </w:tc>
      </w:tr>
      <w:tr w:rsidR="002628A8" w:rsidRPr="008E3B7A" w:rsidTr="003C2BFE">
        <w:tc>
          <w:tcPr>
            <w:tcW w:w="1150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Lone persons</w:t>
            </w:r>
          </w:p>
        </w:tc>
        <w:tc>
          <w:tcPr>
            <w:tcW w:w="1076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9.6%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10,114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13.4%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3,753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15.8%</w:t>
            </w:r>
          </w:p>
        </w:tc>
      </w:tr>
      <w:tr w:rsidR="002628A8" w:rsidRPr="008E3B7A" w:rsidTr="003C2BFE">
        <w:tc>
          <w:tcPr>
            <w:tcW w:w="1150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Total households</w:t>
            </w:r>
          </w:p>
        </w:tc>
        <w:tc>
          <w:tcPr>
            <w:tcW w:w="1076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762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100.0%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75,310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100.0%</w:t>
            </w:r>
          </w:p>
        </w:tc>
        <w:tc>
          <w:tcPr>
            <w:tcW w:w="873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2,3783</w:t>
            </w:r>
          </w:p>
        </w:tc>
        <w:tc>
          <w:tcPr>
            <w:tcW w:w="1134" w:type="dxa"/>
          </w:tcPr>
          <w:p w:rsidR="002628A8" w:rsidRPr="008E3B7A" w:rsidRDefault="002628A8" w:rsidP="003C2BFE">
            <w:pPr>
              <w:rPr>
                <w:sz w:val="20"/>
                <w:szCs w:val="20"/>
              </w:rPr>
            </w:pPr>
            <w:r w:rsidRPr="008E3B7A">
              <w:rPr>
                <w:sz w:val="20"/>
                <w:szCs w:val="20"/>
              </w:rPr>
              <w:t>100.0%</w:t>
            </w:r>
          </w:p>
        </w:tc>
      </w:tr>
    </w:tbl>
    <w:p w:rsidR="002628A8" w:rsidRDefault="002628A8" w:rsidP="002628A8"/>
    <w:p w:rsidR="002628A8" w:rsidRDefault="002628A8" w:rsidP="002628A8">
      <w:pPr>
        <w:pStyle w:val="Heading2"/>
      </w:pPr>
      <w:r>
        <w:t>Tenure</w:t>
      </w:r>
    </w:p>
    <w:p w:rsidR="002628A8" w:rsidRPr="00E427A4" w:rsidRDefault="00B479F8" w:rsidP="002628A8">
      <w:r>
        <w:t>H</w:t>
      </w:r>
      <w:r w:rsidR="002628A8">
        <w:t xml:space="preserve">omeownership rates among Wyndham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="002628A8">
        <w:t xml:space="preserve"> residents have gone down since 2011 - from 48.6% in 2011 to 43.9% in 2016. The percentage of renters has gone up by about the same percentage as ownership has decreased. When it comes to tenure type in 201</w:t>
      </w:r>
      <w:r>
        <w:t>6</w:t>
      </w:r>
      <w:r w:rsidR="002628A8">
        <w:t xml:space="preserve"> (Table 8) a lower proportion of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="002628A8">
        <w:t xml:space="preserve"> residents owns their home (43.9%) than all Wyndham residents (61.1%).</w:t>
      </w:r>
    </w:p>
    <w:p w:rsidR="002628A8" w:rsidRDefault="002628A8" w:rsidP="002628A8">
      <w:pPr>
        <w:pStyle w:val="Caption"/>
        <w:keepNext/>
      </w:pPr>
      <w:r>
        <w:t xml:space="preserve">Table </w:t>
      </w:r>
      <w:r w:rsidR="00C2533F">
        <w:fldChar w:fldCharType="begin"/>
      </w:r>
      <w:r w:rsidR="00C2533F">
        <w:instrText xml:space="preserve"> SEQ Table \* ARABIC </w:instrText>
      </w:r>
      <w:r w:rsidR="00C2533F">
        <w:fldChar w:fldCharType="separate"/>
      </w:r>
      <w:r w:rsidR="006A0E61">
        <w:rPr>
          <w:noProof/>
        </w:rPr>
        <w:t>8</w:t>
      </w:r>
      <w:r w:rsidR="00C2533F">
        <w:rPr>
          <w:noProof/>
        </w:rPr>
        <w:fldChar w:fldCharType="end"/>
      </w:r>
      <w:r>
        <w:t xml:space="preserve">: </w:t>
      </w:r>
      <w:r w:rsidRPr="00F943CE">
        <w:t>Household Tenure</w:t>
      </w:r>
      <w:r w:rsidR="00BC06D9">
        <w:t xml:space="preserve"> by Population Cohort – Wyndham, </w:t>
      </w:r>
      <w:r>
        <w:t>2016</w:t>
      </w:r>
    </w:p>
    <w:tbl>
      <w:tblPr>
        <w:tblStyle w:val="TableGrid"/>
        <w:tblW w:w="6804" w:type="dxa"/>
        <w:tblLook w:val="04A0" w:firstRow="1" w:lastRow="0" w:firstColumn="1" w:lastColumn="0" w:noHBand="0" w:noVBand="1"/>
      </w:tblPr>
      <w:tblGrid>
        <w:gridCol w:w="1445"/>
        <w:gridCol w:w="1368"/>
        <w:gridCol w:w="1519"/>
        <w:gridCol w:w="1161"/>
        <w:gridCol w:w="1311"/>
      </w:tblGrid>
      <w:tr w:rsidR="002628A8" w:rsidRPr="00E427A4" w:rsidTr="003C2BFE">
        <w:tc>
          <w:tcPr>
            <w:tcW w:w="1445" w:type="dxa"/>
          </w:tcPr>
          <w:p w:rsidR="002628A8" w:rsidRPr="008E3B7A" w:rsidRDefault="002628A8" w:rsidP="003C2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Tenure</w:t>
            </w:r>
          </w:p>
        </w:tc>
        <w:tc>
          <w:tcPr>
            <w:tcW w:w="2887" w:type="dxa"/>
            <w:gridSpan w:val="2"/>
          </w:tcPr>
          <w:p w:rsidR="002628A8" w:rsidRPr="008E3B7A" w:rsidRDefault="002628A8" w:rsidP="003C2BFE">
            <w:pPr>
              <w:jc w:val="center"/>
              <w:rPr>
                <w:b/>
                <w:sz w:val="20"/>
                <w:szCs w:val="20"/>
              </w:rPr>
            </w:pPr>
            <w:r w:rsidRPr="008E3B7A">
              <w:rPr>
                <w:b/>
                <w:sz w:val="20"/>
                <w:szCs w:val="20"/>
              </w:rPr>
              <w:t xml:space="preserve">Wyndham </w:t>
            </w:r>
            <w:r w:rsidR="00B46330">
              <w:rPr>
                <w:b/>
                <w:sz w:val="20"/>
                <w:szCs w:val="20"/>
              </w:rPr>
              <w:t xml:space="preserve">Aboriginal and </w:t>
            </w:r>
            <w:r w:rsidR="006332C4">
              <w:rPr>
                <w:b/>
                <w:sz w:val="20"/>
                <w:szCs w:val="20"/>
              </w:rPr>
              <w:t>Torres</w:t>
            </w:r>
            <w:r w:rsidR="00B46330">
              <w:rPr>
                <w:b/>
                <w:sz w:val="20"/>
                <w:szCs w:val="20"/>
              </w:rPr>
              <w:t xml:space="preserve"> Strait Islander</w:t>
            </w:r>
          </w:p>
        </w:tc>
        <w:tc>
          <w:tcPr>
            <w:tcW w:w="2472" w:type="dxa"/>
            <w:gridSpan w:val="2"/>
          </w:tcPr>
          <w:p w:rsidR="002628A8" w:rsidRPr="008E3B7A" w:rsidRDefault="002628A8" w:rsidP="003C2BFE">
            <w:pPr>
              <w:jc w:val="center"/>
              <w:rPr>
                <w:b/>
                <w:sz w:val="20"/>
                <w:szCs w:val="20"/>
              </w:rPr>
            </w:pPr>
            <w:r w:rsidRPr="008E3B7A">
              <w:rPr>
                <w:b/>
                <w:sz w:val="20"/>
                <w:szCs w:val="20"/>
              </w:rPr>
              <w:t>Wyndham Total Population</w:t>
            </w:r>
          </w:p>
        </w:tc>
      </w:tr>
      <w:tr w:rsidR="002628A8" w:rsidRPr="00E427A4" w:rsidTr="003C2BFE">
        <w:tc>
          <w:tcPr>
            <w:tcW w:w="1445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28A8" w:rsidRPr="00E427A4" w:rsidRDefault="002628A8" w:rsidP="003C2BFE">
            <w:pPr>
              <w:rPr>
                <w:i/>
                <w:sz w:val="20"/>
                <w:szCs w:val="20"/>
              </w:rPr>
            </w:pPr>
            <w:r w:rsidRPr="00E427A4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1519" w:type="dxa"/>
          </w:tcPr>
          <w:p w:rsidR="002628A8" w:rsidRPr="00E427A4" w:rsidRDefault="002628A8" w:rsidP="003C2BFE">
            <w:pPr>
              <w:rPr>
                <w:i/>
                <w:sz w:val="20"/>
                <w:szCs w:val="20"/>
              </w:rPr>
            </w:pPr>
            <w:r w:rsidRPr="00E427A4">
              <w:rPr>
                <w:i/>
                <w:sz w:val="20"/>
                <w:szCs w:val="20"/>
              </w:rPr>
              <w:t>Percentage</w:t>
            </w:r>
          </w:p>
        </w:tc>
        <w:tc>
          <w:tcPr>
            <w:tcW w:w="1161" w:type="dxa"/>
          </w:tcPr>
          <w:p w:rsidR="002628A8" w:rsidRPr="00E427A4" w:rsidRDefault="002628A8" w:rsidP="003C2BFE">
            <w:pPr>
              <w:rPr>
                <w:i/>
                <w:sz w:val="20"/>
                <w:szCs w:val="20"/>
              </w:rPr>
            </w:pPr>
            <w:r w:rsidRPr="00E427A4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1311" w:type="dxa"/>
          </w:tcPr>
          <w:p w:rsidR="002628A8" w:rsidRPr="00E427A4" w:rsidRDefault="002628A8" w:rsidP="003C2BFE">
            <w:pPr>
              <w:rPr>
                <w:i/>
                <w:sz w:val="20"/>
                <w:szCs w:val="20"/>
              </w:rPr>
            </w:pPr>
            <w:r w:rsidRPr="00E427A4">
              <w:rPr>
                <w:i/>
                <w:sz w:val="20"/>
                <w:szCs w:val="20"/>
              </w:rPr>
              <w:t>Percentage</w:t>
            </w:r>
          </w:p>
        </w:tc>
      </w:tr>
      <w:tr w:rsidR="002628A8" w:rsidRPr="00E427A4" w:rsidTr="003C2BFE">
        <w:tc>
          <w:tcPr>
            <w:tcW w:w="1445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Owned outright</w:t>
            </w:r>
          </w:p>
        </w:tc>
        <w:tc>
          <w:tcPr>
            <w:tcW w:w="1368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79</w:t>
            </w:r>
          </w:p>
        </w:tc>
        <w:tc>
          <w:tcPr>
            <w:tcW w:w="1519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10.4%</w:t>
            </w:r>
          </w:p>
        </w:tc>
        <w:tc>
          <w:tcPr>
            <w:tcW w:w="1161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13,479</w:t>
            </w:r>
          </w:p>
        </w:tc>
        <w:tc>
          <w:tcPr>
            <w:tcW w:w="1311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17.9%</w:t>
            </w:r>
          </w:p>
        </w:tc>
      </w:tr>
      <w:tr w:rsidR="002628A8" w:rsidRPr="00E427A4" w:rsidTr="003C2BFE">
        <w:tc>
          <w:tcPr>
            <w:tcW w:w="1445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Owned with a mortgage</w:t>
            </w:r>
          </w:p>
        </w:tc>
        <w:tc>
          <w:tcPr>
            <w:tcW w:w="1368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255</w:t>
            </w:r>
          </w:p>
        </w:tc>
        <w:tc>
          <w:tcPr>
            <w:tcW w:w="1519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33.5%</w:t>
            </w:r>
          </w:p>
        </w:tc>
        <w:tc>
          <w:tcPr>
            <w:tcW w:w="1161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32,547</w:t>
            </w:r>
          </w:p>
        </w:tc>
        <w:tc>
          <w:tcPr>
            <w:tcW w:w="1311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43.2%</w:t>
            </w:r>
          </w:p>
        </w:tc>
      </w:tr>
      <w:tr w:rsidR="002628A8" w:rsidRPr="00E427A4" w:rsidTr="003C2BFE">
        <w:tc>
          <w:tcPr>
            <w:tcW w:w="1445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Rented (public)</w:t>
            </w:r>
          </w:p>
        </w:tc>
        <w:tc>
          <w:tcPr>
            <w:tcW w:w="1368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53</w:t>
            </w:r>
          </w:p>
        </w:tc>
        <w:tc>
          <w:tcPr>
            <w:tcW w:w="1519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7.0%</w:t>
            </w:r>
          </w:p>
        </w:tc>
        <w:tc>
          <w:tcPr>
            <w:tcW w:w="1161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607</w:t>
            </w:r>
          </w:p>
        </w:tc>
        <w:tc>
          <w:tcPr>
            <w:tcW w:w="1311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0.8%</w:t>
            </w:r>
          </w:p>
        </w:tc>
      </w:tr>
      <w:tr w:rsidR="002628A8" w:rsidRPr="00E427A4" w:rsidTr="003C2BFE">
        <w:tc>
          <w:tcPr>
            <w:tcW w:w="1445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lastRenderedPageBreak/>
              <w:t>Rented (private)</w:t>
            </w:r>
          </w:p>
        </w:tc>
        <w:tc>
          <w:tcPr>
            <w:tcW w:w="1368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341</w:t>
            </w:r>
          </w:p>
        </w:tc>
        <w:tc>
          <w:tcPr>
            <w:tcW w:w="1519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44.8%</w:t>
            </w:r>
          </w:p>
        </w:tc>
        <w:tc>
          <w:tcPr>
            <w:tcW w:w="1161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18071</w:t>
            </w:r>
          </w:p>
        </w:tc>
        <w:tc>
          <w:tcPr>
            <w:tcW w:w="1311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24.0%</w:t>
            </w:r>
          </w:p>
        </w:tc>
      </w:tr>
      <w:tr w:rsidR="002628A8" w:rsidRPr="00E427A4" w:rsidTr="003C2BFE">
        <w:tc>
          <w:tcPr>
            <w:tcW w:w="1445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Other</w:t>
            </w:r>
          </w:p>
        </w:tc>
        <w:tc>
          <w:tcPr>
            <w:tcW w:w="1368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9</w:t>
            </w:r>
          </w:p>
        </w:tc>
        <w:tc>
          <w:tcPr>
            <w:tcW w:w="1519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1.2%</w:t>
            </w:r>
          </w:p>
        </w:tc>
        <w:tc>
          <w:tcPr>
            <w:tcW w:w="1161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1,018</w:t>
            </w:r>
          </w:p>
        </w:tc>
        <w:tc>
          <w:tcPr>
            <w:tcW w:w="1311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1.4%</w:t>
            </w:r>
          </w:p>
        </w:tc>
      </w:tr>
      <w:tr w:rsidR="002628A8" w:rsidRPr="00E427A4" w:rsidTr="003C2BFE">
        <w:tc>
          <w:tcPr>
            <w:tcW w:w="1445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Not stated</w:t>
            </w:r>
          </w:p>
        </w:tc>
        <w:tc>
          <w:tcPr>
            <w:tcW w:w="1368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23</w:t>
            </w:r>
          </w:p>
        </w:tc>
        <w:tc>
          <w:tcPr>
            <w:tcW w:w="1519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3.0%</w:t>
            </w:r>
          </w:p>
        </w:tc>
        <w:tc>
          <w:tcPr>
            <w:tcW w:w="1161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4582</w:t>
            </w:r>
          </w:p>
        </w:tc>
        <w:tc>
          <w:tcPr>
            <w:tcW w:w="1311" w:type="dxa"/>
          </w:tcPr>
          <w:p w:rsidR="002628A8" w:rsidRPr="00E427A4" w:rsidRDefault="002628A8" w:rsidP="003C2BFE">
            <w:pPr>
              <w:rPr>
                <w:sz w:val="20"/>
                <w:szCs w:val="20"/>
              </w:rPr>
            </w:pPr>
            <w:r w:rsidRPr="00E427A4">
              <w:rPr>
                <w:sz w:val="20"/>
                <w:szCs w:val="20"/>
              </w:rPr>
              <w:t>6.1%</w:t>
            </w:r>
          </w:p>
        </w:tc>
      </w:tr>
    </w:tbl>
    <w:p w:rsidR="002628A8" w:rsidRDefault="002628A8" w:rsidP="002628A8"/>
    <w:p w:rsidR="002628A8" w:rsidRDefault="002628A8" w:rsidP="002628A8">
      <w:r w:rsidRPr="007A4571">
        <w:t>In 201</w:t>
      </w:r>
      <w:r>
        <w:t>6</w:t>
      </w:r>
      <w:r w:rsidRPr="007A4571">
        <w:t xml:space="preserve"> a larger proportion of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households </w:t>
      </w:r>
      <w:r w:rsidR="00C41418">
        <w:t>are</w:t>
      </w:r>
      <w:r w:rsidRPr="007A4571">
        <w:t xml:space="preserve"> living in public rental dwellings (7.</w:t>
      </w:r>
      <w:r>
        <w:t>0</w:t>
      </w:r>
      <w:r w:rsidRPr="007A4571">
        <w:t>%) than the total population (</w:t>
      </w:r>
      <w:r>
        <w:t>0.8</w:t>
      </w:r>
      <w:r w:rsidRPr="007A4571">
        <w:t>%)</w:t>
      </w:r>
      <w:r w:rsidR="00C41418">
        <w:t>, though it i</w:t>
      </w:r>
      <w:r>
        <w:t xml:space="preserve">s still lower than the Victorian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population </w:t>
      </w:r>
      <w:r w:rsidR="00B479F8">
        <w:t>proportion of 12.9% (Figure 10)</w:t>
      </w:r>
      <w:r w:rsidRPr="007A4571">
        <w:t xml:space="preserve">. </w:t>
      </w:r>
      <w:r>
        <w:t>Also notably higher is t</w:t>
      </w:r>
      <w:r w:rsidRPr="007A4571">
        <w:t xml:space="preserve">he proportion of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7A4571">
        <w:t xml:space="preserve"> households living in private r</w:t>
      </w:r>
      <w:r>
        <w:t>ental dwelli</w:t>
      </w:r>
      <w:r w:rsidR="00B479F8">
        <w:t xml:space="preserve">ngs: 44.8% compared with 24% </w:t>
      </w:r>
      <w:r>
        <w:t>of all Wyndham households</w:t>
      </w:r>
      <w:r w:rsidR="00B479F8">
        <w:t>,</w:t>
      </w:r>
      <w:r>
        <w:t xml:space="preserve"> and 36.6% of all Victorian households.</w:t>
      </w:r>
    </w:p>
    <w:p w:rsidR="002628A8" w:rsidRDefault="002628A8" w:rsidP="002628A8">
      <w:pPr>
        <w:pStyle w:val="Caption"/>
        <w:keepNext/>
      </w:pPr>
      <w:r>
        <w:t xml:space="preserve">Figure </w:t>
      </w:r>
      <w:r w:rsidR="00C2533F">
        <w:fldChar w:fldCharType="begin"/>
      </w:r>
      <w:r w:rsidR="00C2533F">
        <w:instrText xml:space="preserve"> SEQ Figure \* ARABIC </w:instrText>
      </w:r>
      <w:r w:rsidR="00C2533F">
        <w:fldChar w:fldCharType="separate"/>
      </w:r>
      <w:r w:rsidR="006A0E61">
        <w:rPr>
          <w:noProof/>
        </w:rPr>
        <w:t>10</w:t>
      </w:r>
      <w:r w:rsidR="00C2533F">
        <w:rPr>
          <w:noProof/>
        </w:rPr>
        <w:fldChar w:fldCharType="end"/>
      </w:r>
      <w:r>
        <w:t xml:space="preserve">: </w:t>
      </w:r>
      <w:r w:rsidRPr="00CA2081">
        <w:t xml:space="preserve">Household Tenure,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CA2081">
        <w:t xml:space="preserve"> Population and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CA2081">
        <w:t xml:space="preserve"> Population - Wyndham and </w:t>
      </w:r>
      <w:r>
        <w:t>Victoria, 2016</w:t>
      </w:r>
    </w:p>
    <w:p w:rsidR="002628A8" w:rsidRDefault="00C41418" w:rsidP="002628A8">
      <w:pPr>
        <w:rPr>
          <w:b/>
          <w:bCs/>
        </w:rPr>
      </w:pPr>
      <w:r>
        <w:rPr>
          <w:b/>
          <w:bCs/>
          <w:noProof/>
          <w:lang w:eastAsia="en-AU"/>
        </w:rPr>
        <w:drawing>
          <wp:inline distT="0" distB="0" distL="0" distR="0" wp14:anchorId="0EBB45DF">
            <wp:extent cx="4320000" cy="2682000"/>
            <wp:effectExtent l="0" t="0" r="4445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68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8A8" w:rsidRDefault="002628A8" w:rsidP="002628A8">
      <w:pPr>
        <w:pStyle w:val="Heading2"/>
      </w:pPr>
      <w:r>
        <w:t>Education</w:t>
      </w:r>
    </w:p>
    <w:p w:rsidR="002628A8" w:rsidRDefault="002628A8" w:rsidP="002628A8">
      <w:r>
        <w:t xml:space="preserve">In terms of educational attainment, Year 12 completion rates differ starkly between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and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residents (Table 9). In 2016, 34.3</w:t>
      </w:r>
      <w:r w:rsidRPr="00C24146">
        <w:t xml:space="preserve">% of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</w:t>
      </w:r>
      <w:r w:rsidRPr="00C24146">
        <w:t xml:space="preserve">residents over 15 years of age had </w:t>
      </w:r>
      <w:r>
        <w:t>completed year 12 or equivalent. This is almost twice as low as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residents over 15 (62.3%). In addition, while educational attainment for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Wyndham residents is similar to Greater Melbourne and higher than in Victoria,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Wyndham residents experience lower educational attainment rates than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residents in Greater Melbourne and Victoria.</w:t>
      </w:r>
    </w:p>
    <w:p w:rsidR="002628A8" w:rsidRDefault="002628A8" w:rsidP="002628A8">
      <w:pPr>
        <w:pStyle w:val="Caption"/>
        <w:keepNext/>
      </w:pPr>
      <w:r>
        <w:t xml:space="preserve">Table </w:t>
      </w:r>
      <w:r w:rsidR="00C2533F">
        <w:fldChar w:fldCharType="begin"/>
      </w:r>
      <w:r w:rsidR="00C2533F">
        <w:instrText xml:space="preserve"> SEQ Table \* ARABIC </w:instrText>
      </w:r>
      <w:r w:rsidR="00C2533F">
        <w:fldChar w:fldCharType="separate"/>
      </w:r>
      <w:r w:rsidR="006A0E61">
        <w:rPr>
          <w:noProof/>
        </w:rPr>
        <w:t>9</w:t>
      </w:r>
      <w:r w:rsidR="00C2533F">
        <w:rPr>
          <w:noProof/>
        </w:rPr>
        <w:fldChar w:fldCharType="end"/>
      </w:r>
      <w:r>
        <w:t xml:space="preserve">: </w:t>
      </w:r>
      <w:r w:rsidRPr="009C542B">
        <w:t xml:space="preserve">Year 12 Completion Rates by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9C542B">
        <w:t xml:space="preserve"> and </w:t>
      </w:r>
      <w:r w:rsidR="0028167E">
        <w:t>N</w:t>
      </w:r>
      <w:r w:rsidRPr="009C542B">
        <w:t>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9C542B">
        <w:t xml:space="preserve"> Population</w:t>
      </w:r>
      <w:r w:rsidR="00AB6F6B">
        <w:t xml:space="preserve"> over 15 Years o</w:t>
      </w:r>
      <w:r>
        <w:t>ld</w:t>
      </w:r>
      <w:r w:rsidRPr="009C542B">
        <w:t>, 2016</w:t>
      </w:r>
    </w:p>
    <w:tbl>
      <w:tblPr>
        <w:tblStyle w:val="TableGrid"/>
        <w:tblW w:w="6804" w:type="dxa"/>
        <w:tblLook w:val="04A0" w:firstRow="1" w:lastRow="0" w:firstColumn="1" w:lastColumn="0" w:noHBand="0" w:noVBand="1"/>
      </w:tblPr>
      <w:tblGrid>
        <w:gridCol w:w="1703"/>
        <w:gridCol w:w="1709"/>
        <w:gridCol w:w="1721"/>
        <w:gridCol w:w="1671"/>
      </w:tblGrid>
      <w:tr w:rsidR="002628A8" w:rsidRPr="007E0453" w:rsidTr="003C2BFE">
        <w:tc>
          <w:tcPr>
            <w:tcW w:w="1848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2628A8" w:rsidRPr="007E0453" w:rsidRDefault="002628A8" w:rsidP="003C2BFE">
            <w:pPr>
              <w:rPr>
                <w:b/>
                <w:sz w:val="20"/>
                <w:szCs w:val="20"/>
              </w:rPr>
            </w:pPr>
            <w:r w:rsidRPr="007E0453">
              <w:rPr>
                <w:b/>
                <w:sz w:val="20"/>
                <w:szCs w:val="20"/>
              </w:rPr>
              <w:t>Wyndham</w:t>
            </w:r>
          </w:p>
        </w:tc>
        <w:tc>
          <w:tcPr>
            <w:tcW w:w="1848" w:type="dxa"/>
          </w:tcPr>
          <w:p w:rsidR="002628A8" w:rsidRPr="007E0453" w:rsidRDefault="002628A8" w:rsidP="003C2BFE">
            <w:pPr>
              <w:rPr>
                <w:b/>
                <w:sz w:val="20"/>
                <w:szCs w:val="20"/>
              </w:rPr>
            </w:pPr>
            <w:r w:rsidRPr="007E0453">
              <w:rPr>
                <w:b/>
                <w:sz w:val="20"/>
                <w:szCs w:val="20"/>
              </w:rPr>
              <w:t>Greater Melbourne</w:t>
            </w:r>
          </w:p>
        </w:tc>
        <w:tc>
          <w:tcPr>
            <w:tcW w:w="1849" w:type="dxa"/>
          </w:tcPr>
          <w:p w:rsidR="002628A8" w:rsidRPr="007E0453" w:rsidRDefault="002628A8" w:rsidP="003C2BFE">
            <w:pPr>
              <w:rPr>
                <w:b/>
                <w:sz w:val="20"/>
                <w:szCs w:val="20"/>
              </w:rPr>
            </w:pPr>
            <w:r w:rsidRPr="007E0453">
              <w:rPr>
                <w:b/>
                <w:sz w:val="20"/>
                <w:szCs w:val="20"/>
              </w:rPr>
              <w:t>Victoria</w:t>
            </w:r>
          </w:p>
        </w:tc>
      </w:tr>
      <w:tr w:rsidR="002628A8" w:rsidRPr="007E0453" w:rsidTr="003C2BFE">
        <w:tc>
          <w:tcPr>
            <w:tcW w:w="1848" w:type="dxa"/>
          </w:tcPr>
          <w:p w:rsidR="002628A8" w:rsidRPr="007E0453" w:rsidRDefault="00B46330" w:rsidP="003C2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Aboriginal and </w:t>
            </w:r>
            <w:r w:rsidR="006332C4">
              <w:rPr>
                <w:sz w:val="20"/>
                <w:szCs w:val="20"/>
              </w:rPr>
              <w:t>Torres</w:t>
            </w:r>
            <w:r>
              <w:rPr>
                <w:sz w:val="20"/>
                <w:szCs w:val="20"/>
              </w:rPr>
              <w:t xml:space="preserve"> Strait Islander</w:t>
            </w:r>
          </w:p>
        </w:tc>
        <w:tc>
          <w:tcPr>
            <w:tcW w:w="1848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34.3%</w:t>
            </w:r>
          </w:p>
        </w:tc>
        <w:tc>
          <w:tcPr>
            <w:tcW w:w="1848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42.3%</w:t>
            </w:r>
          </w:p>
        </w:tc>
        <w:tc>
          <w:tcPr>
            <w:tcW w:w="184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35.2%</w:t>
            </w:r>
          </w:p>
        </w:tc>
      </w:tr>
      <w:tr w:rsidR="002628A8" w:rsidRPr="007E0453" w:rsidTr="003C2BFE">
        <w:tc>
          <w:tcPr>
            <w:tcW w:w="1848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Non-</w:t>
            </w:r>
            <w:r w:rsidR="00B46330">
              <w:rPr>
                <w:sz w:val="20"/>
                <w:szCs w:val="20"/>
              </w:rPr>
              <w:t xml:space="preserve">Aboriginal and </w:t>
            </w:r>
            <w:r w:rsidR="006332C4">
              <w:rPr>
                <w:sz w:val="20"/>
                <w:szCs w:val="20"/>
              </w:rPr>
              <w:t>Torres</w:t>
            </w:r>
            <w:r w:rsidR="00B46330">
              <w:rPr>
                <w:sz w:val="20"/>
                <w:szCs w:val="20"/>
              </w:rPr>
              <w:t xml:space="preserve"> Strait </w:t>
            </w:r>
            <w:r w:rsidR="00B46330">
              <w:rPr>
                <w:sz w:val="20"/>
                <w:szCs w:val="20"/>
              </w:rPr>
              <w:lastRenderedPageBreak/>
              <w:t>Islander</w:t>
            </w:r>
          </w:p>
        </w:tc>
        <w:tc>
          <w:tcPr>
            <w:tcW w:w="1848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lastRenderedPageBreak/>
              <w:t>62.3%</w:t>
            </w:r>
          </w:p>
        </w:tc>
        <w:tc>
          <w:tcPr>
            <w:tcW w:w="1848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63.6%</w:t>
            </w:r>
          </w:p>
        </w:tc>
        <w:tc>
          <w:tcPr>
            <w:tcW w:w="184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58.5%</w:t>
            </w:r>
          </w:p>
        </w:tc>
      </w:tr>
    </w:tbl>
    <w:p w:rsidR="002628A8" w:rsidRDefault="002628A8" w:rsidP="002628A8"/>
    <w:p w:rsidR="002628A8" w:rsidRDefault="002628A8" w:rsidP="002628A8">
      <w:pPr>
        <w:pStyle w:val="Heading2"/>
      </w:pPr>
      <w:r>
        <w:t>Employment</w:t>
      </w:r>
    </w:p>
    <w:p w:rsidR="002628A8" w:rsidRDefault="002628A8" w:rsidP="002628A8">
      <w:r>
        <w:t xml:space="preserve">According to Census 2011 data, </w:t>
      </w:r>
      <w:r w:rsidRPr="00DF6A30">
        <w:rPr>
          <w:i/>
        </w:rPr>
        <w:t>Clerical and Administrative Workers</w:t>
      </w:r>
      <w:r w:rsidRPr="004E22EF">
        <w:t xml:space="preserve"> (19.1%) and </w:t>
      </w:r>
      <w:r w:rsidRPr="00DF6A30">
        <w:rPr>
          <w:i/>
        </w:rPr>
        <w:t xml:space="preserve">Technicians and Trades Workers </w:t>
      </w:r>
      <w:r w:rsidRPr="004E22EF">
        <w:t xml:space="preserve">(15.8%) were the largest occupation types for employed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4E22EF">
        <w:t xml:space="preserve"> people</w:t>
      </w:r>
      <w:r>
        <w:t xml:space="preserve"> in Wyndham (Table 10).</w:t>
      </w:r>
    </w:p>
    <w:p w:rsidR="002628A8" w:rsidRDefault="002628A8" w:rsidP="002628A8">
      <w:pPr>
        <w:pStyle w:val="Caption"/>
        <w:keepNext/>
      </w:pPr>
      <w:r>
        <w:t xml:space="preserve">Table </w:t>
      </w:r>
      <w:r w:rsidR="00C2533F">
        <w:fldChar w:fldCharType="begin"/>
      </w:r>
      <w:r w:rsidR="00C2533F">
        <w:instrText xml:space="preserve"> SEQ Table \* ARABIC </w:instrText>
      </w:r>
      <w:r w:rsidR="00C2533F">
        <w:fldChar w:fldCharType="separate"/>
      </w:r>
      <w:r w:rsidR="006A0E61">
        <w:rPr>
          <w:noProof/>
        </w:rPr>
        <w:t>10</w:t>
      </w:r>
      <w:r w:rsidR="00C2533F">
        <w:rPr>
          <w:noProof/>
        </w:rPr>
        <w:fldChar w:fldCharType="end"/>
      </w:r>
      <w:r>
        <w:t>: Occupations</w:t>
      </w:r>
      <w:r w:rsidRPr="006A70C8">
        <w:t xml:space="preserve">,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6A70C8">
        <w:t xml:space="preserve"> Population </w:t>
      </w:r>
      <w:r w:rsidR="00BC06D9">
        <w:t>–</w:t>
      </w:r>
      <w:r w:rsidRPr="006A70C8">
        <w:t xml:space="preserve"> Wyndham</w:t>
      </w:r>
      <w:r w:rsidR="00BC06D9">
        <w:t>,</w:t>
      </w:r>
      <w:r w:rsidRPr="006A70C8">
        <w:t xml:space="preserve"> 2011</w:t>
      </w:r>
    </w:p>
    <w:tbl>
      <w:tblPr>
        <w:tblStyle w:val="TableGrid"/>
        <w:tblW w:w="6804" w:type="dxa"/>
        <w:tblLook w:val="04A0" w:firstRow="1" w:lastRow="0" w:firstColumn="1" w:lastColumn="0" w:noHBand="0" w:noVBand="1"/>
      </w:tblPr>
      <w:tblGrid>
        <w:gridCol w:w="2409"/>
        <w:gridCol w:w="2206"/>
        <w:gridCol w:w="2189"/>
      </w:tblGrid>
      <w:tr w:rsidR="002628A8" w:rsidRPr="007E0453" w:rsidTr="003C2BFE">
        <w:tc>
          <w:tcPr>
            <w:tcW w:w="2409" w:type="dxa"/>
          </w:tcPr>
          <w:p w:rsidR="002628A8" w:rsidRPr="007E0453" w:rsidRDefault="002628A8" w:rsidP="003C2BFE">
            <w:pPr>
              <w:rPr>
                <w:b/>
                <w:sz w:val="20"/>
                <w:szCs w:val="20"/>
              </w:rPr>
            </w:pPr>
            <w:r w:rsidRPr="007E0453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2206" w:type="dxa"/>
          </w:tcPr>
          <w:p w:rsidR="002628A8" w:rsidRPr="007E0453" w:rsidRDefault="002628A8" w:rsidP="003C2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189" w:type="dxa"/>
          </w:tcPr>
          <w:p w:rsidR="002628A8" w:rsidRPr="007E0453" w:rsidRDefault="002628A8" w:rsidP="003C2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</w:t>
            </w:r>
          </w:p>
        </w:tc>
      </w:tr>
      <w:tr w:rsidR="002628A8" w:rsidRPr="007E0453" w:rsidTr="003C2BFE">
        <w:tc>
          <w:tcPr>
            <w:tcW w:w="240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Clerical and Administrative</w:t>
            </w:r>
          </w:p>
        </w:tc>
        <w:tc>
          <w:tcPr>
            <w:tcW w:w="2206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69</w:t>
            </w:r>
          </w:p>
        </w:tc>
        <w:tc>
          <w:tcPr>
            <w:tcW w:w="218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19.1%</w:t>
            </w:r>
          </w:p>
        </w:tc>
      </w:tr>
      <w:tr w:rsidR="002628A8" w:rsidRPr="007E0453" w:rsidTr="003C2BFE">
        <w:tc>
          <w:tcPr>
            <w:tcW w:w="240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Technicians and Trades</w:t>
            </w:r>
          </w:p>
        </w:tc>
        <w:tc>
          <w:tcPr>
            <w:tcW w:w="2206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57</w:t>
            </w:r>
          </w:p>
        </w:tc>
        <w:tc>
          <w:tcPr>
            <w:tcW w:w="218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15.8%</w:t>
            </w:r>
          </w:p>
        </w:tc>
      </w:tr>
      <w:tr w:rsidR="002628A8" w:rsidRPr="007E0453" w:rsidTr="003C2BFE">
        <w:tc>
          <w:tcPr>
            <w:tcW w:w="240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Community and Personal Services</w:t>
            </w:r>
          </w:p>
        </w:tc>
        <w:tc>
          <w:tcPr>
            <w:tcW w:w="2206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41</w:t>
            </w:r>
          </w:p>
        </w:tc>
        <w:tc>
          <w:tcPr>
            <w:tcW w:w="218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11.4%</w:t>
            </w:r>
          </w:p>
        </w:tc>
      </w:tr>
      <w:tr w:rsidR="002628A8" w:rsidRPr="007E0453" w:rsidTr="003C2BFE">
        <w:tc>
          <w:tcPr>
            <w:tcW w:w="240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Machinery Operators and Drivers</w:t>
            </w:r>
          </w:p>
        </w:tc>
        <w:tc>
          <w:tcPr>
            <w:tcW w:w="2206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41</w:t>
            </w:r>
          </w:p>
        </w:tc>
        <w:tc>
          <w:tcPr>
            <w:tcW w:w="218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11.4%</w:t>
            </w:r>
          </w:p>
        </w:tc>
      </w:tr>
      <w:tr w:rsidR="002628A8" w:rsidRPr="007E0453" w:rsidTr="003C2BFE">
        <w:tc>
          <w:tcPr>
            <w:tcW w:w="240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Professionals</w:t>
            </w:r>
          </w:p>
        </w:tc>
        <w:tc>
          <w:tcPr>
            <w:tcW w:w="2206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36</w:t>
            </w:r>
          </w:p>
        </w:tc>
        <w:tc>
          <w:tcPr>
            <w:tcW w:w="218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10.0%</w:t>
            </w:r>
          </w:p>
        </w:tc>
      </w:tr>
      <w:tr w:rsidR="002628A8" w:rsidRPr="007E0453" w:rsidTr="003C2BFE">
        <w:tc>
          <w:tcPr>
            <w:tcW w:w="240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Labourers</w:t>
            </w:r>
          </w:p>
        </w:tc>
        <w:tc>
          <w:tcPr>
            <w:tcW w:w="2206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35</w:t>
            </w:r>
          </w:p>
        </w:tc>
        <w:tc>
          <w:tcPr>
            <w:tcW w:w="218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9.7%</w:t>
            </w:r>
          </w:p>
        </w:tc>
      </w:tr>
      <w:tr w:rsidR="002628A8" w:rsidRPr="007E0453" w:rsidTr="003C2BFE">
        <w:tc>
          <w:tcPr>
            <w:tcW w:w="240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Sales Workers</w:t>
            </w:r>
          </w:p>
        </w:tc>
        <w:tc>
          <w:tcPr>
            <w:tcW w:w="2206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34</w:t>
            </w:r>
          </w:p>
        </w:tc>
        <w:tc>
          <w:tcPr>
            <w:tcW w:w="218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9.4%</w:t>
            </w:r>
          </w:p>
        </w:tc>
      </w:tr>
      <w:tr w:rsidR="002628A8" w:rsidRPr="007E0453" w:rsidTr="003C2BFE">
        <w:tc>
          <w:tcPr>
            <w:tcW w:w="240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Managers</w:t>
            </w:r>
          </w:p>
        </w:tc>
        <w:tc>
          <w:tcPr>
            <w:tcW w:w="2206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28</w:t>
            </w:r>
          </w:p>
        </w:tc>
        <w:tc>
          <w:tcPr>
            <w:tcW w:w="218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7.5%</w:t>
            </w:r>
          </w:p>
        </w:tc>
      </w:tr>
      <w:tr w:rsidR="002628A8" w:rsidRPr="007E0453" w:rsidTr="003C2BFE">
        <w:tc>
          <w:tcPr>
            <w:tcW w:w="240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Inadequately described</w:t>
            </w:r>
          </w:p>
        </w:tc>
        <w:tc>
          <w:tcPr>
            <w:tcW w:w="2206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20</w:t>
            </w:r>
          </w:p>
        </w:tc>
        <w:tc>
          <w:tcPr>
            <w:tcW w:w="2189" w:type="dxa"/>
          </w:tcPr>
          <w:p w:rsidR="002628A8" w:rsidRPr="007E0453" w:rsidRDefault="002628A8" w:rsidP="003C2BFE">
            <w:pPr>
              <w:rPr>
                <w:sz w:val="20"/>
                <w:szCs w:val="20"/>
              </w:rPr>
            </w:pPr>
            <w:r w:rsidRPr="007E0453">
              <w:rPr>
                <w:sz w:val="20"/>
                <w:szCs w:val="20"/>
              </w:rPr>
              <w:t>5.5%</w:t>
            </w:r>
          </w:p>
        </w:tc>
      </w:tr>
    </w:tbl>
    <w:p w:rsidR="002628A8" w:rsidRDefault="002628A8" w:rsidP="002628A8"/>
    <w:p w:rsidR="00B479F8" w:rsidRDefault="002628A8" w:rsidP="002628A8">
      <w:r>
        <w:t xml:space="preserve">Comparing Wyndham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residents’ industries of employment with Wyndham’s total population, the most evident differences are in the categories for </w:t>
      </w:r>
      <w:r>
        <w:rPr>
          <w:i/>
        </w:rPr>
        <w:t>Professionals</w:t>
      </w:r>
      <w:r>
        <w:t xml:space="preserve"> and </w:t>
      </w:r>
      <w:r>
        <w:rPr>
          <w:i/>
        </w:rPr>
        <w:t>Managers</w:t>
      </w:r>
      <w:r>
        <w:t xml:space="preserve">, where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residents are proportionally less represented. </w:t>
      </w:r>
      <w:r w:rsidR="00B479F8">
        <w:t>Comparing Aboriginal and Torres Strait Islander residents in Wyndham with those in Victoria, employment proportions across all but two occupations differ greatly.</w:t>
      </w:r>
    </w:p>
    <w:p w:rsidR="002628A8" w:rsidRDefault="002628A8" w:rsidP="002628A8">
      <w:pPr>
        <w:pStyle w:val="Caption"/>
        <w:keepNext/>
      </w:pPr>
      <w:r>
        <w:t xml:space="preserve">Figure </w:t>
      </w:r>
      <w:r w:rsidR="00C2533F">
        <w:fldChar w:fldCharType="begin"/>
      </w:r>
      <w:r w:rsidR="00C2533F">
        <w:instrText xml:space="preserve"> SEQ Figure \* ARABIC </w:instrText>
      </w:r>
      <w:r w:rsidR="00C2533F">
        <w:fldChar w:fldCharType="separate"/>
      </w:r>
      <w:r w:rsidR="006A0E61">
        <w:rPr>
          <w:noProof/>
        </w:rPr>
        <w:t>11</w:t>
      </w:r>
      <w:r w:rsidR="00C2533F">
        <w:rPr>
          <w:noProof/>
        </w:rPr>
        <w:fldChar w:fldCharType="end"/>
      </w:r>
      <w:r>
        <w:t>: Occupations</w:t>
      </w:r>
      <w:r w:rsidRPr="00F4782A">
        <w:t xml:space="preserve">,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F4782A">
        <w:t xml:space="preserve"> and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F4782A">
        <w:t xml:space="preserve"> </w:t>
      </w:r>
      <w:r>
        <w:t xml:space="preserve">Population </w:t>
      </w:r>
      <w:r w:rsidRPr="00F4782A">
        <w:t>- Wyndham and Victoria</w:t>
      </w:r>
      <w:r>
        <w:t xml:space="preserve">, </w:t>
      </w:r>
      <w:r w:rsidRPr="00F4782A">
        <w:t>2011</w:t>
      </w:r>
    </w:p>
    <w:p w:rsidR="002628A8" w:rsidRDefault="00C41418" w:rsidP="002628A8">
      <w:r>
        <w:rPr>
          <w:noProof/>
          <w:lang w:eastAsia="en-AU"/>
        </w:rPr>
        <w:drawing>
          <wp:inline distT="0" distB="0" distL="0" distR="0" wp14:anchorId="363AE20D">
            <wp:extent cx="4320000" cy="2412000"/>
            <wp:effectExtent l="0" t="0" r="444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8A8" w:rsidRDefault="002628A8" w:rsidP="002628A8">
      <w:pPr>
        <w:pStyle w:val="Heading2"/>
      </w:pPr>
      <w:r>
        <w:t>Place of Work</w:t>
      </w:r>
    </w:p>
    <w:p w:rsidR="002628A8" w:rsidRPr="00DF6A30" w:rsidRDefault="002628A8" w:rsidP="002628A8">
      <w:r w:rsidRPr="004E22EF">
        <w:t xml:space="preserve">A larger proportion of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4E22EF">
        <w:t xml:space="preserve"> residents work locally in the municipality (35%) than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4E22EF">
        <w:t xml:space="preserve"> residents</w:t>
      </w:r>
      <w:r>
        <w:t xml:space="preserve"> do</w:t>
      </w:r>
      <w:r w:rsidRPr="004E22EF">
        <w:t xml:space="preserve"> (31%)</w:t>
      </w:r>
      <w:r w:rsidR="00B479F8">
        <w:t>,</w:t>
      </w:r>
      <w:r>
        <w:t xml:space="preserve"> as Figure 12 shows</w:t>
      </w:r>
      <w:r w:rsidRPr="004E22EF">
        <w:t xml:space="preserve">. </w:t>
      </w:r>
      <w:r>
        <w:t xml:space="preserve">On the </w:t>
      </w:r>
      <w:r>
        <w:lastRenderedPageBreak/>
        <w:t>other hand, proportionally more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>
        <w:t xml:space="preserve"> residents work in the City of Melbourne. </w:t>
      </w:r>
    </w:p>
    <w:p w:rsidR="002628A8" w:rsidRDefault="002628A8" w:rsidP="002628A8">
      <w:pPr>
        <w:pStyle w:val="Caption"/>
        <w:keepNext/>
      </w:pPr>
      <w:r>
        <w:t xml:space="preserve">Figure </w:t>
      </w:r>
      <w:r w:rsidR="00C2533F">
        <w:fldChar w:fldCharType="begin"/>
      </w:r>
      <w:r w:rsidR="00C2533F">
        <w:instrText xml:space="preserve"> SEQ Figure \* ARABIC </w:instrText>
      </w:r>
      <w:r w:rsidR="00C2533F">
        <w:fldChar w:fldCharType="separate"/>
      </w:r>
      <w:r w:rsidR="006A0E61">
        <w:rPr>
          <w:noProof/>
        </w:rPr>
        <w:t>12</w:t>
      </w:r>
      <w:r w:rsidR="00C2533F">
        <w:rPr>
          <w:noProof/>
        </w:rPr>
        <w:fldChar w:fldCharType="end"/>
      </w:r>
      <w:r>
        <w:t xml:space="preserve">: </w:t>
      </w:r>
      <w:r w:rsidR="00AB6F6B">
        <w:t>Top t</w:t>
      </w:r>
      <w:r w:rsidRPr="00D712A8">
        <w:t>en Place</w:t>
      </w:r>
      <w:r>
        <w:t>s</w:t>
      </w:r>
      <w:r w:rsidRPr="00D712A8">
        <w:t xml:space="preserve"> of Work, 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D712A8">
        <w:t xml:space="preserve"> and Non-</w:t>
      </w:r>
      <w:r w:rsidR="00B46330">
        <w:t xml:space="preserve">Aboriginal and </w:t>
      </w:r>
      <w:r w:rsidR="006332C4">
        <w:t>Torres</w:t>
      </w:r>
      <w:r w:rsidR="00B46330">
        <w:t xml:space="preserve"> Strait Islander</w:t>
      </w:r>
      <w:r w:rsidRPr="00D712A8">
        <w:t>, Employed Residents – Wyndham</w:t>
      </w:r>
      <w:r w:rsidR="00BC06D9">
        <w:t>,</w:t>
      </w:r>
      <w:r w:rsidRPr="00D712A8">
        <w:t xml:space="preserve"> 2011</w:t>
      </w:r>
    </w:p>
    <w:p w:rsidR="007C2CCE" w:rsidRDefault="00C41418">
      <w:pPr>
        <w:rPr>
          <w:b/>
          <w:bCs/>
        </w:rPr>
      </w:pPr>
      <w:r>
        <w:rPr>
          <w:b/>
          <w:bCs/>
          <w:noProof/>
          <w:lang w:eastAsia="en-AU"/>
        </w:rPr>
        <w:drawing>
          <wp:inline distT="0" distB="0" distL="0" distR="0" wp14:anchorId="30438560">
            <wp:extent cx="4320000" cy="2581200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CCE" w:rsidRDefault="007C2CCE" w:rsidP="007C2CCE"/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Default="007C2CCE" w:rsidP="007C2CCE">
      <w:pPr>
        <w:rPr>
          <w:rFonts w:asciiTheme="majorHAnsi" w:hAnsiTheme="majorHAnsi"/>
          <w:sz w:val="16"/>
          <w:szCs w:val="16"/>
        </w:rPr>
      </w:pPr>
    </w:p>
    <w:p w:rsidR="007C2CCE" w:rsidRPr="007C2CCE" w:rsidRDefault="007C2CCE" w:rsidP="007C2CCE">
      <w:pPr>
        <w:spacing w:after="120"/>
        <w:rPr>
          <w:b/>
          <w:sz w:val="16"/>
          <w:szCs w:val="16"/>
        </w:rPr>
      </w:pPr>
      <w:r w:rsidRPr="007C2CCE">
        <w:rPr>
          <w:b/>
          <w:sz w:val="16"/>
          <w:szCs w:val="16"/>
        </w:rPr>
        <w:t>References</w:t>
      </w:r>
    </w:p>
    <w:p w:rsidR="007C2CCE" w:rsidRDefault="007C2CCE" w:rsidP="007C2CCE">
      <w:pPr>
        <w:spacing w:after="0" w:line="240" w:lineRule="auto"/>
        <w:rPr>
          <w:sz w:val="16"/>
          <w:szCs w:val="16"/>
        </w:rPr>
      </w:pPr>
      <w:r w:rsidRPr="007C2CCE">
        <w:rPr>
          <w:sz w:val="16"/>
          <w:szCs w:val="16"/>
        </w:rPr>
        <w:t xml:space="preserve">Australian Bureau of Statistics. (2011 and 2016). </w:t>
      </w:r>
      <w:r w:rsidRPr="007C2CCE">
        <w:rPr>
          <w:i/>
          <w:sz w:val="16"/>
          <w:szCs w:val="16"/>
        </w:rPr>
        <w:t>Census of Population and Housing</w:t>
      </w:r>
      <w:r w:rsidRPr="007C2CCE">
        <w:rPr>
          <w:sz w:val="16"/>
          <w:szCs w:val="16"/>
        </w:rPr>
        <w:t xml:space="preserve">. Retrieved from </w:t>
      </w:r>
      <w:hyperlink r:id="rId22" w:history="1">
        <w:r w:rsidRPr="007C2CCE">
          <w:rPr>
            <w:rStyle w:val="Hyperlink"/>
            <w:sz w:val="16"/>
            <w:szCs w:val="16"/>
          </w:rPr>
          <w:t>https://auth.censusdata.abs.gov.au/webapi/jsf/login.xhtml</w:t>
        </w:r>
      </w:hyperlink>
    </w:p>
    <w:p w:rsidR="009E4461" w:rsidRPr="007C2CCE" w:rsidRDefault="007C2CCE" w:rsidP="007C2CCE">
      <w:pPr>
        <w:spacing w:after="0" w:line="240" w:lineRule="auto"/>
        <w:rPr>
          <w:sz w:val="16"/>
          <w:szCs w:val="16"/>
        </w:rPr>
      </w:pPr>
      <w:r w:rsidRPr="007C2CCE">
        <w:rPr>
          <w:sz w:val="16"/>
          <w:szCs w:val="16"/>
        </w:rPr>
        <w:t xml:space="preserve">Australian Bureau of Statistics. (2011 and 2016). </w:t>
      </w:r>
      <w:r w:rsidRPr="007C2CCE">
        <w:rPr>
          <w:i/>
          <w:sz w:val="16"/>
          <w:szCs w:val="16"/>
        </w:rPr>
        <w:t>Census of Population and Housing</w:t>
      </w:r>
      <w:r w:rsidRPr="007C2CCE">
        <w:rPr>
          <w:sz w:val="16"/>
          <w:szCs w:val="16"/>
        </w:rPr>
        <w:t xml:space="preserve">. Retrieved from .id Consulting </w:t>
      </w:r>
      <w:hyperlink r:id="rId23" w:history="1">
        <w:r w:rsidRPr="007C2CCE">
          <w:rPr>
            <w:rStyle w:val="Hyperlink"/>
            <w:sz w:val="16"/>
            <w:szCs w:val="16"/>
          </w:rPr>
          <w:t>http://profile.id.com.au/wyndham</w:t>
        </w:r>
      </w:hyperlink>
      <w:r w:rsidRPr="007C2CCE">
        <w:rPr>
          <w:sz w:val="16"/>
          <w:szCs w:val="16"/>
        </w:rPr>
        <w:t xml:space="preserve"> </w:t>
      </w:r>
    </w:p>
    <w:sectPr w:rsidR="009E4461" w:rsidRPr="007C2CCE" w:rsidSect="009E446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5F" w:rsidRDefault="009A045F" w:rsidP="009E4461">
      <w:pPr>
        <w:spacing w:after="0" w:line="240" w:lineRule="auto"/>
      </w:pPr>
      <w:r>
        <w:separator/>
      </w:r>
    </w:p>
  </w:endnote>
  <w:endnote w:type="continuationSeparator" w:id="0">
    <w:p w:rsidR="009A045F" w:rsidRDefault="009A045F" w:rsidP="009E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Regular">
    <w:panose1 w:val="020105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73" w:rsidRPr="002D26EB" w:rsidRDefault="00DC4973" w:rsidP="002D26EB">
    <w:pPr>
      <w:pStyle w:val="Footer"/>
      <w:pBdr>
        <w:top w:val="single" w:sz="12" w:space="1" w:color="002060"/>
      </w:pBdr>
      <w:jc w:val="right"/>
      <w:rPr>
        <w:rFonts w:ascii="DaxOT-Light" w:hAnsi="DaxOT-Light"/>
        <w:color w:val="002060"/>
        <w:sz w:val="20"/>
      </w:rPr>
    </w:pPr>
    <w:r w:rsidRPr="002D26EB">
      <w:rPr>
        <w:rFonts w:ascii="DaxOT-Light" w:hAnsi="DaxOT-Light"/>
        <w:color w:val="002060"/>
        <w:sz w:val="20"/>
      </w:rPr>
      <w:t>Wyndham City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73" w:rsidRPr="002D26EB" w:rsidRDefault="00DC4973" w:rsidP="002D26EB">
    <w:pPr>
      <w:pStyle w:val="Footer"/>
      <w:pBdr>
        <w:top w:val="single" w:sz="12" w:space="1" w:color="002060"/>
      </w:pBdr>
      <w:tabs>
        <w:tab w:val="clear" w:pos="4513"/>
        <w:tab w:val="clear" w:pos="9026"/>
        <w:tab w:val="left" w:pos="2210"/>
      </w:tabs>
      <w:rPr>
        <w:rFonts w:ascii="DaxOT-Light" w:hAnsi="DaxOT-Light"/>
        <w:color w:val="002060"/>
        <w:sz w:val="20"/>
      </w:rPr>
    </w:pPr>
    <w:r w:rsidRPr="002D26EB">
      <w:rPr>
        <w:rFonts w:ascii="DaxOT-Light" w:hAnsi="DaxOT-Light"/>
        <w:color w:val="002060"/>
        <w:sz w:val="20"/>
      </w:rPr>
      <w:t>Wyndham City</w:t>
    </w:r>
    <w:r>
      <w:rPr>
        <w:rFonts w:ascii="DaxOT-Light" w:hAnsi="DaxOT-Light"/>
        <w:color w:val="00206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73" w:rsidRDefault="00DC4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5F" w:rsidRDefault="009A045F" w:rsidP="009E4461">
      <w:pPr>
        <w:spacing w:after="0" w:line="240" w:lineRule="auto"/>
      </w:pPr>
      <w:r>
        <w:separator/>
      </w:r>
    </w:p>
  </w:footnote>
  <w:footnote w:type="continuationSeparator" w:id="0">
    <w:p w:rsidR="009A045F" w:rsidRDefault="009A045F" w:rsidP="009E4461">
      <w:pPr>
        <w:spacing w:after="0" w:line="240" w:lineRule="auto"/>
      </w:pPr>
      <w:r>
        <w:continuationSeparator/>
      </w:r>
    </w:p>
  </w:footnote>
  <w:footnote w:id="1">
    <w:p w:rsidR="00DC4973" w:rsidRDefault="00DC4973" w:rsidP="002628A8">
      <w:pPr>
        <w:pStyle w:val="FootnoteText"/>
      </w:pPr>
      <w:r>
        <w:rPr>
          <w:rStyle w:val="FootnoteReference"/>
        </w:rPr>
        <w:footnoteRef/>
      </w:r>
      <w:r>
        <w:t xml:space="preserve"> Life expectancy for Indigenous people in Australia is around 10 years below that of non-Indigenous people (</w:t>
      </w:r>
      <w:r w:rsidRPr="00967C43">
        <w:t>http://www.aihw.gov.au/deaths/life-expectancy/#indigenous</w:t>
      </w:r>
      <w:r>
        <w:t>).</w:t>
      </w:r>
    </w:p>
  </w:footnote>
  <w:footnote w:id="2">
    <w:p w:rsidR="00DC4973" w:rsidRDefault="00DC4973" w:rsidP="002628A8">
      <w:pPr>
        <w:pStyle w:val="FootnoteText"/>
      </w:pPr>
      <w:r>
        <w:rPr>
          <w:rStyle w:val="FootnoteReference"/>
        </w:rPr>
        <w:footnoteRef/>
      </w:r>
      <w:r>
        <w:t xml:space="preserve"> ABS, </w:t>
      </w:r>
      <w:r w:rsidRPr="003170A3">
        <w:t xml:space="preserve">4727.0.55.001 - Australian </w:t>
      </w:r>
      <w:r>
        <w:t>Aboriginal and Torres Strait Islander</w:t>
      </w:r>
      <w:r w:rsidRPr="003170A3">
        <w:t xml:space="preserve"> and Torres Strait Islander Health Survey: First Results, Australia, 2012-13</w:t>
      </w:r>
      <w:r>
        <w:t>.</w:t>
      </w:r>
    </w:p>
  </w:footnote>
  <w:footnote w:id="3">
    <w:p w:rsidR="00A813C6" w:rsidRDefault="00A813C6" w:rsidP="00A813C6">
      <w:pPr>
        <w:pStyle w:val="FootnoteText"/>
      </w:pPr>
      <w:r>
        <w:rPr>
          <w:rStyle w:val="FootnoteReference"/>
        </w:rPr>
        <w:footnoteRef/>
      </w:r>
      <w:r>
        <w:t xml:space="preserve"> Closing the Gap Clearinghouse (AIHW &amp; AIFS) 2014. Ear disease in Aboriginal and Torres Strait Islander children. Resource sheet no. 35. Produced by the Closing the Gap Clearinghouse. Canberra: Australian Institute of Health and Welfare &amp; Melbourne: Australian Institute of Family Studies.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73" w:rsidRDefault="00DC49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596E874" wp14:editId="596071B2">
          <wp:simplePos x="0" y="0"/>
          <wp:positionH relativeFrom="column">
            <wp:posOffset>659130</wp:posOffset>
          </wp:positionH>
          <wp:positionV relativeFrom="paragraph">
            <wp:posOffset>-1096453</wp:posOffset>
          </wp:positionV>
          <wp:extent cx="6475730" cy="198628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AndSandGraphic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98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73" w:rsidRDefault="00DC49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73" w:rsidRDefault="00DC4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A8"/>
    <w:rsid w:val="000505D5"/>
    <w:rsid w:val="001D5814"/>
    <w:rsid w:val="002628A8"/>
    <w:rsid w:val="0028167E"/>
    <w:rsid w:val="002D26EB"/>
    <w:rsid w:val="003C2BFE"/>
    <w:rsid w:val="003D5923"/>
    <w:rsid w:val="0041200A"/>
    <w:rsid w:val="00450555"/>
    <w:rsid w:val="005160FC"/>
    <w:rsid w:val="00612837"/>
    <w:rsid w:val="006135B4"/>
    <w:rsid w:val="006332C4"/>
    <w:rsid w:val="006A0E61"/>
    <w:rsid w:val="007411E5"/>
    <w:rsid w:val="00745384"/>
    <w:rsid w:val="007773E1"/>
    <w:rsid w:val="007C2CCE"/>
    <w:rsid w:val="009A045F"/>
    <w:rsid w:val="009E4461"/>
    <w:rsid w:val="00A655EA"/>
    <w:rsid w:val="00A730F9"/>
    <w:rsid w:val="00A813C6"/>
    <w:rsid w:val="00AB6F6B"/>
    <w:rsid w:val="00B30674"/>
    <w:rsid w:val="00B46330"/>
    <w:rsid w:val="00B479F8"/>
    <w:rsid w:val="00BC06D9"/>
    <w:rsid w:val="00C03926"/>
    <w:rsid w:val="00C22E6A"/>
    <w:rsid w:val="00C2533F"/>
    <w:rsid w:val="00C41418"/>
    <w:rsid w:val="00DC159B"/>
    <w:rsid w:val="00DC4973"/>
    <w:rsid w:val="00E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61"/>
  </w:style>
  <w:style w:type="paragraph" w:styleId="Footer">
    <w:name w:val="footer"/>
    <w:basedOn w:val="Normal"/>
    <w:link w:val="FooterChar"/>
    <w:uiPriority w:val="99"/>
    <w:unhideWhenUsed/>
    <w:rsid w:val="009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61"/>
  </w:style>
  <w:style w:type="paragraph" w:styleId="NoSpacing">
    <w:name w:val="No Spacing"/>
    <w:link w:val="NoSpacingChar"/>
    <w:uiPriority w:val="1"/>
    <w:qFormat/>
    <w:rsid w:val="009E44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44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6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28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8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28A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628A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2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BFE"/>
    <w:rPr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2C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2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61"/>
  </w:style>
  <w:style w:type="paragraph" w:styleId="Footer">
    <w:name w:val="footer"/>
    <w:basedOn w:val="Normal"/>
    <w:link w:val="FooterChar"/>
    <w:uiPriority w:val="99"/>
    <w:unhideWhenUsed/>
    <w:rsid w:val="009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61"/>
  </w:style>
  <w:style w:type="paragraph" w:styleId="NoSpacing">
    <w:name w:val="No Spacing"/>
    <w:link w:val="NoSpacingChar"/>
    <w:uiPriority w:val="1"/>
    <w:qFormat/>
    <w:rsid w:val="009E44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44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6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28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8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28A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628A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2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BFE"/>
    <w:rPr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2C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2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profile.id.com.au/wyndha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auth.censusdata.abs.gov.au/webapi/jsf/login.x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Cover%20and%20Follow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A477-7E89-4F91-9958-6A739DC9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and Follower.dotx</Template>
  <TotalTime>0</TotalTime>
  <Pages>13</Pages>
  <Words>2895</Words>
  <Characters>16507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Visser</dc:creator>
  <cp:lastModifiedBy>Linda Scorsis</cp:lastModifiedBy>
  <cp:revision>2</cp:revision>
  <cp:lastPrinted>2017-07-24T02:23:00Z</cp:lastPrinted>
  <dcterms:created xsi:type="dcterms:W3CDTF">2017-07-31T01:16:00Z</dcterms:created>
  <dcterms:modified xsi:type="dcterms:W3CDTF">2017-07-31T01:16:00Z</dcterms:modified>
</cp:coreProperties>
</file>