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BC8" w:rsidRPr="00596B21" w:rsidRDefault="00430DB0" w:rsidP="00F4181E">
      <w:pPr>
        <w:pStyle w:val="Header02"/>
        <w:rPr>
          <w:rFonts w:asciiTheme="majorHAnsi" w:hAnsiTheme="majorHAnsi"/>
          <w:sz w:val="22"/>
          <w:szCs w:val="22"/>
        </w:r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41069D" wp14:editId="6AA78043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797425" cy="1043940"/>
                <wp:effectExtent l="0" t="0" r="3175" b="3810"/>
                <wp:wrapThrough wrapText="bothSides">
                  <wp:wrapPolygon edited="0">
                    <wp:start x="0" y="0"/>
                    <wp:lineTo x="0" y="21285"/>
                    <wp:lineTo x="21529" y="21285"/>
                    <wp:lineTo x="2152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101D8F" w:rsidRDefault="00101D8F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101D8F">
                              <w:rPr>
                                <w:sz w:val="80"/>
                                <w:szCs w:val="80"/>
                              </w:rPr>
                              <w:t>Earning and Learning</w:t>
                            </w:r>
                            <w:r w:rsidR="00FC0DE6" w:rsidRPr="00101D8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FC0DE6" w:rsidRPr="00DF1843" w:rsidRDefault="00101D8F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A157C9">
                              <w:t xml:space="preserve"> – Wyndham City Plan 2017-21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77.7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" filled="f" stroked="f">
                <v:textbox inset="0,0,0,0">
                  <w:txbxContent>
                    <w:p w:rsidR="00FC0DE6" w:rsidRPr="00101D8F" w:rsidRDefault="00101D8F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101D8F">
                        <w:rPr>
                          <w:sz w:val="80"/>
                          <w:szCs w:val="80"/>
                        </w:rPr>
                        <w:t>Earning and Learning</w:t>
                      </w:r>
                      <w:r w:rsidR="00FC0DE6" w:rsidRPr="00101D8F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:rsidR="00FC0DE6" w:rsidRPr="00DF1843" w:rsidRDefault="00101D8F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A157C9">
                        <w:t xml:space="preserve"> – Wyndham City Plan 2017-21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>
        <w:t xml:space="preserve"> </w:t>
      </w:r>
    </w:p>
    <w:p w:rsidR="00F4181E" w:rsidRPr="00596B21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96B21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F4181E" w:rsidRPr="00596B21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:rsidR="00211CA1" w:rsidRPr="00596B21" w:rsidRDefault="00211CA1" w:rsidP="00211CA1">
      <w:pPr>
        <w:spacing w:before="60" w:afterLines="60" w:after="144" w:line="240" w:lineRule="auto"/>
        <w:rPr>
          <w:rFonts w:asciiTheme="majorHAnsi" w:hAnsiTheme="majorHAnsi"/>
        </w:rPr>
        <w:sectPr w:rsidR="00211CA1" w:rsidRPr="00596B21" w:rsidSect="00FC0DE6">
          <w:footerReference w:type="default" r:id="rId8"/>
          <w:headerReference w:type="first" r:id="rId9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</w:p>
    <w:p w:rsidR="00204867" w:rsidRDefault="00204867" w:rsidP="00204867">
      <w:pPr>
        <w:spacing w:before="120" w:afterLines="50" w:after="120" w:line="240" w:lineRule="auto"/>
        <w:rPr>
          <w:rFonts w:asciiTheme="majorHAnsi" w:hAnsiTheme="majorHAnsi"/>
        </w:rPr>
      </w:pPr>
    </w:p>
    <w:p w:rsidR="00204867" w:rsidRDefault="00204867" w:rsidP="00204867">
      <w:pPr>
        <w:spacing w:before="120" w:afterLines="50" w:after="120" w:line="240" w:lineRule="auto"/>
        <w:rPr>
          <w:rFonts w:asciiTheme="majorHAnsi" w:hAnsiTheme="majorHAnsi"/>
        </w:rPr>
      </w:pPr>
    </w:p>
    <w:p w:rsidR="00FA77C0" w:rsidRPr="00FA77C0" w:rsidRDefault="00FA77C0" w:rsidP="00FA77C0">
      <w:pPr>
        <w:spacing w:before="240" w:after="0" w:line="240" w:lineRule="auto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A77C0">
        <w:rPr>
          <w:rFonts w:asciiTheme="majorHAnsi" w:hAnsiTheme="majorHAnsi"/>
          <w:color w:val="0F243E" w:themeColor="text2" w:themeShade="80"/>
          <w:sz w:val="28"/>
          <w:szCs w:val="28"/>
        </w:rPr>
        <w:t>Library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061"/>
      </w:tblGrid>
      <w:tr w:rsidR="00596B21" w:rsidRPr="00596B21" w:rsidTr="00C57D6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96B21" w:rsidRPr="007603CA" w:rsidRDefault="00E130AF" w:rsidP="0071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Number of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A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dults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P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articipating in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earning and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S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kills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P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rograms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O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ffered at Wyndham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Li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braries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2013/14 to 2015/16</w:t>
            </w:r>
            <w:r w:rsidR="00204867"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1"/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E130AF" w:rsidRPr="00596B21" w:rsidRDefault="00E130AF" w:rsidP="00E130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Satisfaction with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ocal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ibrary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S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ervices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2013 to 2016</w:t>
            </w:r>
            <w:r w:rsidR="00204867"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2"/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 </w:t>
            </w:r>
          </w:p>
          <w:p w:rsidR="00596B21" w:rsidRPr="00596B21" w:rsidRDefault="00596B21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30AF" w:rsidRPr="00596B21" w:rsidTr="00C57D6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30AF" w:rsidRPr="00596B21" w:rsidRDefault="00E130AF" w:rsidP="00C723DB">
            <w:pPr>
              <w:pStyle w:val="Body01"/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3038C3AD" wp14:editId="0CB78F01">
                  <wp:extent cx="3149600" cy="1546577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E130AF" w:rsidRPr="00596B21" w:rsidRDefault="00E130AF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8F5D3F4" wp14:editId="09D1397F">
                  <wp:extent cx="3048000" cy="1603022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130AF" w:rsidRPr="00596B21" w:rsidTr="00C57D6F"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F" w:rsidRDefault="007603CA" w:rsidP="007603CA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number of adults participating in learning and skills programs at</w:t>
            </w:r>
            <w:r w:rsidR="0023221E">
              <w:rPr>
                <w:rFonts w:asciiTheme="majorHAnsi" w:hAnsiTheme="majorHAnsi"/>
                <w:sz w:val="22"/>
                <w:szCs w:val="22"/>
              </w:rPr>
              <w:t xml:space="preserve"> Wyndham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libraries, and the overall satisfaction rating of local library services has followed a similar trend over the last 3 years.</w:t>
            </w:r>
          </w:p>
          <w:p w:rsidR="007603CA" w:rsidRDefault="007603CA" w:rsidP="007603CA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Between 2013/14 and 2014/15, the </w:t>
            </w:r>
            <w:r w:rsidRPr="002D239A">
              <w:rPr>
                <w:rFonts w:asciiTheme="majorHAnsi" w:hAnsiTheme="majorHAnsi"/>
                <w:b/>
                <w:sz w:val="22"/>
                <w:szCs w:val="22"/>
              </w:rPr>
              <w:t>number of adults engaging in learning and skills programs at Wyndham libraries more than doubled before declining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by almost 300 participants between 2014/15 and 2015/16.</w:t>
            </w:r>
          </w:p>
          <w:p w:rsidR="007603CA" w:rsidRPr="002D239A" w:rsidRDefault="0023221E" w:rsidP="00204867">
            <w:pPr>
              <w:pStyle w:val="Body01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s</w:t>
            </w:r>
            <w:r w:rsidR="007603CA">
              <w:rPr>
                <w:rFonts w:asciiTheme="majorHAnsi" w:hAnsiTheme="majorHAnsi"/>
                <w:sz w:val="22"/>
                <w:szCs w:val="22"/>
              </w:rPr>
              <w:t xml:space="preserve">atisfaction with local library services has </w:t>
            </w:r>
            <w:r w:rsidR="007603CA" w:rsidRPr="002D239A">
              <w:rPr>
                <w:rFonts w:asciiTheme="majorHAnsi" w:hAnsiTheme="majorHAnsi"/>
                <w:b/>
                <w:sz w:val="22"/>
                <w:szCs w:val="22"/>
              </w:rPr>
              <w:t>steadily increased from 2013 to 2015, before declining marginally in 2016.</w:t>
            </w:r>
          </w:p>
          <w:p w:rsidR="00FA77C0" w:rsidRPr="00FA77C0" w:rsidRDefault="00FA77C0" w:rsidP="00FA77C0">
            <w:pPr>
              <w:pStyle w:val="Body01"/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A77C0">
              <w:rPr>
                <w:rFonts w:asciiTheme="majorHAnsi" w:hAnsiTheme="majorHAnsi"/>
                <w:color w:val="0F243E" w:themeColor="text2" w:themeShade="80"/>
                <w:sz w:val="28"/>
                <w:szCs w:val="28"/>
              </w:rPr>
              <w:t>Jobs and Economy</w:t>
            </w:r>
          </w:p>
        </w:tc>
      </w:tr>
    </w:tbl>
    <w:p w:rsidR="00F4181E" w:rsidRPr="007603CA" w:rsidRDefault="007603CA" w:rsidP="00C723DB">
      <w:pPr>
        <w:pStyle w:val="Body01"/>
        <w:rPr>
          <w:rFonts w:asciiTheme="majorHAnsi" w:hAnsiTheme="majorHAnsi"/>
          <w:b/>
          <w:sz w:val="22"/>
          <w:szCs w:val="22"/>
        </w:rPr>
      </w:pPr>
      <w:r w:rsidRPr="007603CA">
        <w:rPr>
          <w:rFonts w:asciiTheme="majorHAnsi" w:hAnsiTheme="majorHAnsi"/>
          <w:b/>
          <w:sz w:val="22"/>
          <w:szCs w:val="22"/>
        </w:rPr>
        <w:t xml:space="preserve">Percentage </w:t>
      </w:r>
      <w:r w:rsidR="009F31FA">
        <w:rPr>
          <w:rFonts w:asciiTheme="majorHAnsi" w:hAnsiTheme="majorHAnsi"/>
          <w:b/>
          <w:sz w:val="22"/>
          <w:szCs w:val="22"/>
        </w:rPr>
        <w:t>C</w:t>
      </w:r>
      <w:r w:rsidRPr="007603CA">
        <w:rPr>
          <w:rFonts w:asciiTheme="majorHAnsi" w:hAnsiTheme="majorHAnsi"/>
          <w:b/>
          <w:sz w:val="22"/>
          <w:szCs w:val="22"/>
        </w:rPr>
        <w:t xml:space="preserve">hange in </w:t>
      </w:r>
      <w:r w:rsidR="009F31FA">
        <w:rPr>
          <w:rFonts w:asciiTheme="majorHAnsi" w:hAnsiTheme="majorHAnsi"/>
          <w:b/>
          <w:sz w:val="22"/>
          <w:szCs w:val="22"/>
        </w:rPr>
        <w:t>N</w:t>
      </w:r>
      <w:r w:rsidRPr="007603CA">
        <w:rPr>
          <w:rFonts w:asciiTheme="majorHAnsi" w:hAnsiTheme="majorHAnsi"/>
          <w:b/>
          <w:sz w:val="22"/>
          <w:szCs w:val="22"/>
        </w:rPr>
        <w:t xml:space="preserve">umber of </w:t>
      </w:r>
      <w:r w:rsidR="009F31FA">
        <w:rPr>
          <w:rFonts w:asciiTheme="majorHAnsi" w:hAnsiTheme="majorHAnsi"/>
          <w:b/>
          <w:sz w:val="22"/>
          <w:szCs w:val="22"/>
        </w:rPr>
        <w:t>L</w:t>
      </w:r>
      <w:r w:rsidRPr="007603CA">
        <w:rPr>
          <w:rFonts w:asciiTheme="majorHAnsi" w:hAnsiTheme="majorHAnsi"/>
          <w:b/>
          <w:sz w:val="22"/>
          <w:szCs w:val="22"/>
        </w:rPr>
        <w:t xml:space="preserve">ocal </w:t>
      </w:r>
      <w:r w:rsidR="009F31FA">
        <w:rPr>
          <w:rFonts w:asciiTheme="majorHAnsi" w:hAnsiTheme="majorHAnsi"/>
          <w:b/>
          <w:sz w:val="22"/>
          <w:szCs w:val="22"/>
        </w:rPr>
        <w:t>J</w:t>
      </w:r>
      <w:r w:rsidRPr="007603CA">
        <w:rPr>
          <w:rFonts w:asciiTheme="majorHAnsi" w:hAnsiTheme="majorHAnsi"/>
          <w:b/>
          <w:sz w:val="22"/>
          <w:szCs w:val="22"/>
        </w:rPr>
        <w:t>obs</w:t>
      </w:r>
      <w:r w:rsidR="009F31FA">
        <w:rPr>
          <w:rFonts w:asciiTheme="majorHAnsi" w:hAnsiTheme="majorHAnsi"/>
          <w:b/>
          <w:sz w:val="22"/>
          <w:szCs w:val="22"/>
        </w:rPr>
        <w:t>, 2015 to 2016</w:t>
      </w:r>
      <w:r w:rsidR="00BF1425">
        <w:rPr>
          <w:rStyle w:val="FootnoteReference"/>
          <w:rFonts w:asciiTheme="majorHAnsi" w:hAnsiTheme="majorHAnsi"/>
          <w:b/>
          <w:sz w:val="22"/>
          <w:szCs w:val="22"/>
        </w:rPr>
        <w:footnoteReference w:id="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  <w:gridCol w:w="2874"/>
      </w:tblGrid>
      <w:tr w:rsidR="007603CA" w:rsidRPr="00596B21" w:rsidTr="00D520C7">
        <w:tc>
          <w:tcPr>
            <w:tcW w:w="5496" w:type="dxa"/>
          </w:tcPr>
          <w:p w:rsidR="007603CA" w:rsidRPr="00596B21" w:rsidRDefault="007603CA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045140B3" wp14:editId="3C2BB9FE">
                  <wp:extent cx="4651022" cy="1648178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18" w:type="dxa"/>
          </w:tcPr>
          <w:p w:rsidR="00D520C7" w:rsidRDefault="00D520C7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:rsidR="007603CA" w:rsidRPr="00596B21" w:rsidRDefault="00D520C7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Between 2015 and 2016, Wyndham saw the </w:t>
            </w:r>
            <w:r w:rsidRPr="00FA77C0">
              <w:rPr>
                <w:rFonts w:asciiTheme="majorHAnsi" w:hAnsiTheme="majorHAnsi"/>
                <w:b/>
                <w:sz w:val="22"/>
                <w:szCs w:val="22"/>
              </w:rPr>
              <w:t xml:space="preserve">largest percentage growth in local jobs compared to all other growth areas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almost 4 times the growth seen Victoria wide. </w:t>
            </w:r>
          </w:p>
        </w:tc>
      </w:tr>
    </w:tbl>
    <w:p w:rsidR="009F31FA" w:rsidRDefault="009F31FA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:rsidR="009F31FA" w:rsidRDefault="009F31FA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:rsidR="009F31FA" w:rsidRDefault="009F31FA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:rsidR="00596B21" w:rsidRPr="00596B21" w:rsidRDefault="00596B21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  <w:r w:rsidRPr="00596B21">
        <w:rPr>
          <w:rFonts w:asciiTheme="majorHAnsi" w:eastAsia="Times New Roman" w:hAnsiTheme="majorHAnsi" w:cs="Times New Roman"/>
          <w:b/>
          <w:color w:val="000000"/>
          <w:lang w:eastAsia="en-AU"/>
        </w:rPr>
        <w:lastRenderedPageBreak/>
        <w:t>Gross Regional Product</w:t>
      </w:r>
      <w:r w:rsidR="009F31FA">
        <w:rPr>
          <w:rFonts w:asciiTheme="majorHAnsi" w:eastAsia="Times New Roman" w:hAnsiTheme="majorHAnsi" w:cs="Times New Roman"/>
          <w:b/>
          <w:color w:val="000000"/>
          <w:lang w:eastAsia="en-AU"/>
        </w:rPr>
        <w:t xml:space="preserve"> </w:t>
      </w:r>
      <w:r w:rsidRPr="00596B21">
        <w:rPr>
          <w:rFonts w:asciiTheme="majorHAnsi" w:eastAsia="Times New Roman" w:hAnsiTheme="majorHAnsi" w:cs="Times New Roman"/>
          <w:b/>
          <w:color w:val="000000"/>
          <w:lang w:eastAsia="en-AU"/>
        </w:rPr>
        <w:t xml:space="preserve">and </w:t>
      </w:r>
      <w:r w:rsidR="009F31FA">
        <w:rPr>
          <w:rFonts w:asciiTheme="majorHAnsi" w:eastAsia="Times New Roman" w:hAnsiTheme="majorHAnsi" w:cs="Times New Roman"/>
          <w:b/>
          <w:color w:val="000000"/>
          <w:lang w:eastAsia="en-AU"/>
        </w:rPr>
        <w:t>P</w:t>
      </w:r>
      <w:r w:rsidRPr="00596B21">
        <w:rPr>
          <w:rFonts w:asciiTheme="majorHAnsi" w:eastAsia="Times New Roman" w:hAnsiTheme="majorHAnsi" w:cs="Times New Roman"/>
          <w:b/>
          <w:color w:val="000000"/>
          <w:lang w:eastAsia="en-AU"/>
        </w:rPr>
        <w:t xml:space="preserve">ercentage </w:t>
      </w:r>
      <w:r w:rsidR="009F31FA">
        <w:rPr>
          <w:rFonts w:asciiTheme="majorHAnsi" w:eastAsia="Times New Roman" w:hAnsiTheme="majorHAnsi" w:cs="Times New Roman"/>
          <w:b/>
          <w:color w:val="000000"/>
          <w:lang w:eastAsia="en-AU"/>
        </w:rPr>
        <w:t>C</w:t>
      </w:r>
      <w:r w:rsidRPr="00596B21">
        <w:rPr>
          <w:rFonts w:asciiTheme="majorHAnsi" w:eastAsia="Times New Roman" w:hAnsiTheme="majorHAnsi" w:cs="Times New Roman"/>
          <w:b/>
          <w:color w:val="000000"/>
          <w:lang w:eastAsia="en-AU"/>
        </w:rPr>
        <w:t>ontribution to Victorian Gross Domestic Product</w:t>
      </w:r>
      <w:r w:rsidR="009F31FA">
        <w:rPr>
          <w:rFonts w:asciiTheme="majorHAnsi" w:eastAsia="Times New Roman" w:hAnsiTheme="majorHAnsi" w:cs="Times New Roman"/>
          <w:b/>
          <w:color w:val="000000"/>
          <w:lang w:eastAsia="en-AU"/>
        </w:rPr>
        <w:t>, 2016</w:t>
      </w:r>
      <w:r w:rsidR="00BF1425">
        <w:rPr>
          <w:rStyle w:val="FootnoteReference"/>
          <w:rFonts w:asciiTheme="majorHAnsi" w:eastAsia="Times New Roman" w:hAnsiTheme="majorHAnsi" w:cs="Times New Roman"/>
          <w:b/>
          <w:color w:val="000000"/>
          <w:lang w:eastAsia="en-AU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596B21" w:rsidRPr="00596B21" w:rsidTr="00C135CE">
        <w:tc>
          <w:tcPr>
            <w:tcW w:w="10414" w:type="dxa"/>
          </w:tcPr>
          <w:p w:rsidR="00596B21" w:rsidRPr="00596B21" w:rsidRDefault="00596B21" w:rsidP="00FA77C0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7628C9FF" wp14:editId="15DA2D3B">
                  <wp:extent cx="6400800" cy="2505693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596B21" w:rsidRPr="00596B21" w:rsidTr="00C135CE">
        <w:tc>
          <w:tcPr>
            <w:tcW w:w="10414" w:type="dxa"/>
          </w:tcPr>
          <w:p w:rsidR="00596B21" w:rsidRPr="00596B21" w:rsidRDefault="0042191C" w:rsidP="009F31FA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2016, </w:t>
            </w:r>
            <w:r w:rsidRPr="002D239A">
              <w:rPr>
                <w:rFonts w:asciiTheme="majorHAnsi" w:hAnsiTheme="majorHAnsi"/>
                <w:b/>
                <w:sz w:val="22"/>
                <w:szCs w:val="22"/>
              </w:rPr>
              <w:t xml:space="preserve">Wyndham had the second largest </w:t>
            </w:r>
            <w:r w:rsidR="009F31FA">
              <w:rPr>
                <w:rFonts w:asciiTheme="majorHAnsi" w:hAnsiTheme="majorHAnsi"/>
                <w:b/>
                <w:sz w:val="22"/>
                <w:szCs w:val="22"/>
              </w:rPr>
              <w:t>Gross Regional Product (GRP)</w:t>
            </w:r>
            <w:r w:rsidRPr="002D23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D239A" w:rsidRPr="002D239A">
              <w:rPr>
                <w:rFonts w:asciiTheme="majorHAnsi" w:hAnsiTheme="majorHAnsi"/>
                <w:sz w:val="22"/>
                <w:szCs w:val="22"/>
              </w:rPr>
              <w:t>of all growth areas in Victoria</w:t>
            </w:r>
            <w:r w:rsidR="002D239A">
              <w:rPr>
                <w:rFonts w:asciiTheme="majorHAnsi" w:hAnsiTheme="majorHAnsi"/>
                <w:sz w:val="22"/>
                <w:szCs w:val="22"/>
              </w:rPr>
              <w:t>, second only to</w:t>
            </w:r>
            <w:r w:rsidR="002D23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D239A">
              <w:rPr>
                <w:rFonts w:asciiTheme="majorHAnsi" w:hAnsiTheme="majorHAnsi"/>
                <w:sz w:val="22"/>
                <w:szCs w:val="22"/>
              </w:rPr>
              <w:t>Hume</w:t>
            </w:r>
            <w:r w:rsidR="00FA5F9F">
              <w:rPr>
                <w:rFonts w:asciiTheme="majorHAnsi" w:hAnsiTheme="majorHAnsi"/>
                <w:sz w:val="22"/>
                <w:szCs w:val="22"/>
              </w:rPr>
              <w:t>. Wyndham’s GRP contributed 2.3% towards Victoria’s Gross State Product.</w:t>
            </w:r>
            <w:r w:rsidR="002D239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C723DB" w:rsidRPr="00FA77C0" w:rsidRDefault="00FA77C0" w:rsidP="00FA77C0">
      <w:pPr>
        <w:pStyle w:val="Body01"/>
        <w:rPr>
          <w:color w:val="0F243E" w:themeColor="text2" w:themeShade="80"/>
          <w:sz w:val="28"/>
          <w:szCs w:val="28"/>
        </w:rPr>
      </w:pPr>
      <w:r w:rsidRPr="00FA77C0">
        <w:rPr>
          <w:color w:val="0F243E" w:themeColor="text2" w:themeShade="80"/>
          <w:sz w:val="28"/>
          <w:szCs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  <w:gridCol w:w="4728"/>
      </w:tblGrid>
      <w:tr w:rsidR="00FA77C0" w:rsidRPr="00596B21" w:rsidTr="00604363">
        <w:tc>
          <w:tcPr>
            <w:tcW w:w="5780" w:type="dxa"/>
          </w:tcPr>
          <w:p w:rsidR="00FA77C0" w:rsidRPr="00FA77C0" w:rsidRDefault="00FA77C0" w:rsidP="009F31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Percentage of 15-25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Y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ear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O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lds not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E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ngaged at all in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W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ork or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S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tudy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2011</w:t>
            </w:r>
            <w:r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5"/>
            </w:r>
          </w:p>
        </w:tc>
        <w:tc>
          <w:tcPr>
            <w:tcW w:w="4634" w:type="dxa"/>
          </w:tcPr>
          <w:p w:rsidR="00FA77C0" w:rsidRPr="00FA77C0" w:rsidRDefault="00FA77C0" w:rsidP="000C6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Percentage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A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dult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P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opulation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A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ttending University o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r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 TAFE (18+ years)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</w:t>
            </w:r>
            <w:r w:rsidR="000C6BF8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6</w:t>
            </w:r>
            <w:r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6"/>
            </w:r>
          </w:p>
        </w:tc>
      </w:tr>
      <w:tr w:rsidR="00FA77C0" w:rsidRPr="00596B21" w:rsidTr="00604363">
        <w:trPr>
          <w:trHeight w:val="3550"/>
        </w:trPr>
        <w:tc>
          <w:tcPr>
            <w:tcW w:w="5780" w:type="dxa"/>
          </w:tcPr>
          <w:p w:rsidR="00FA77C0" w:rsidRPr="00596B21" w:rsidRDefault="001E1BCC" w:rsidP="00FA77C0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54C082" wp14:editId="3C6A1F8E">
                  <wp:extent cx="3533422" cy="2201333"/>
                  <wp:effectExtent l="0" t="0" r="0" b="889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 w:rsidR="00FA77C0" w:rsidRPr="00596B21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4634" w:type="dxa"/>
          </w:tcPr>
          <w:p w:rsidR="00FA77C0" w:rsidRPr="00596B21" w:rsidRDefault="00604363" w:rsidP="00FA77C0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343EA3" wp14:editId="6E305559">
                  <wp:extent cx="2893925" cy="1991606"/>
                  <wp:effectExtent l="0" t="0" r="20955" b="2794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A77C0" w:rsidRPr="00596B21" w:rsidTr="00604363">
        <w:trPr>
          <w:trHeight w:val="91"/>
        </w:trPr>
        <w:tc>
          <w:tcPr>
            <w:tcW w:w="5780" w:type="dxa"/>
          </w:tcPr>
          <w:p w:rsidR="00FA77C0" w:rsidRPr="00FA77C0" w:rsidRDefault="00FA77C0" w:rsidP="00FA77C0">
            <w:pPr>
              <w:pStyle w:val="Body01"/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</w:pPr>
            <w:r w:rsidRPr="00FA77C0">
              <w:rPr>
                <w:sz w:val="22"/>
                <w:szCs w:val="22"/>
              </w:rPr>
              <w:t xml:space="preserve">Compared to Victoria and Greater Melbourne, </w:t>
            </w:r>
            <w:r w:rsidRPr="00FA5F9F">
              <w:rPr>
                <w:b/>
                <w:sz w:val="22"/>
                <w:szCs w:val="22"/>
              </w:rPr>
              <w:t>Wyndham has the highest proportion of disengaged youth.</w:t>
            </w:r>
            <w:r w:rsidRPr="00FA77C0">
              <w:rPr>
                <w:sz w:val="22"/>
                <w:szCs w:val="22"/>
              </w:rPr>
              <w:t xml:space="preserve"> In 2011, almost 7% of 15-25 year olds from Wyndham were not studying, and not employed or looking for work.</w:t>
            </w:r>
          </w:p>
        </w:tc>
        <w:tc>
          <w:tcPr>
            <w:tcW w:w="4634" w:type="dxa"/>
          </w:tcPr>
          <w:p w:rsidR="00FA77C0" w:rsidRPr="00FA77C0" w:rsidRDefault="00FA77C0" w:rsidP="00FA5F9F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FA77C0">
              <w:rPr>
                <w:rFonts w:asciiTheme="majorHAnsi" w:hAnsiTheme="majorHAnsi"/>
                <w:sz w:val="22"/>
                <w:szCs w:val="22"/>
              </w:rPr>
              <w:t xml:space="preserve">The percentage of adults from </w:t>
            </w:r>
            <w:r w:rsidRPr="00FA5F9F">
              <w:rPr>
                <w:rFonts w:asciiTheme="majorHAnsi" w:hAnsiTheme="majorHAnsi"/>
                <w:b/>
                <w:sz w:val="22"/>
                <w:szCs w:val="22"/>
              </w:rPr>
              <w:t>Wyndham attendin</w:t>
            </w:r>
            <w:r w:rsidR="00604363">
              <w:rPr>
                <w:rFonts w:asciiTheme="majorHAnsi" w:hAnsiTheme="majorHAnsi"/>
                <w:b/>
                <w:sz w:val="22"/>
                <w:szCs w:val="22"/>
              </w:rPr>
              <w:t>g University or TAFE is lower (8</w:t>
            </w:r>
            <w:r w:rsidRPr="00FA5F9F">
              <w:rPr>
                <w:rFonts w:asciiTheme="majorHAnsi" w:hAnsiTheme="majorHAnsi"/>
                <w:b/>
                <w:sz w:val="22"/>
                <w:szCs w:val="22"/>
              </w:rPr>
              <w:t>%)</w:t>
            </w:r>
            <w:r w:rsidRPr="00FA77C0">
              <w:rPr>
                <w:rFonts w:asciiTheme="majorHAnsi" w:hAnsiTheme="majorHAnsi"/>
                <w:sz w:val="22"/>
                <w:szCs w:val="22"/>
              </w:rPr>
              <w:t xml:space="preserve"> than the percentage </w:t>
            </w:r>
            <w:r w:rsidRPr="00FA5F9F">
              <w:rPr>
                <w:rFonts w:asciiTheme="majorHAnsi" w:hAnsiTheme="majorHAnsi"/>
                <w:sz w:val="22"/>
                <w:szCs w:val="22"/>
              </w:rPr>
              <w:t>across</w:t>
            </w:r>
            <w:r w:rsidRPr="00FA5F9F">
              <w:rPr>
                <w:rFonts w:asciiTheme="majorHAnsi" w:hAnsiTheme="majorHAnsi"/>
                <w:b/>
                <w:sz w:val="22"/>
                <w:szCs w:val="22"/>
              </w:rPr>
              <w:t xml:space="preserve"> Greater Melbourne (10%) and Victoria (9%).</w:t>
            </w:r>
          </w:p>
        </w:tc>
      </w:tr>
    </w:tbl>
    <w:p w:rsidR="00FA77C0" w:rsidRPr="00101D8F" w:rsidRDefault="00FA77C0" w:rsidP="00C723DB">
      <w:pPr>
        <w:pStyle w:val="Body01"/>
        <w:rPr>
          <w:sz w:val="22"/>
          <w:szCs w:val="22"/>
        </w:rPr>
      </w:pPr>
    </w:p>
    <w:sectPr w:rsidR="00FA77C0" w:rsidRPr="00101D8F" w:rsidSect="00211CA1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C1" w:rsidRDefault="007319C1" w:rsidP="00D62CF1">
      <w:r>
        <w:separator/>
      </w:r>
    </w:p>
  </w:endnote>
  <w:endnote w:type="continuationSeparator" w:id="0">
    <w:p w:rsidR="007319C1" w:rsidRDefault="007319C1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C1" w:rsidRDefault="007319C1" w:rsidP="00D62CF1">
      <w:r>
        <w:separator/>
      </w:r>
    </w:p>
  </w:footnote>
  <w:footnote w:type="continuationSeparator" w:id="0">
    <w:p w:rsidR="007319C1" w:rsidRDefault="007319C1" w:rsidP="00D62CF1">
      <w:r>
        <w:continuationSeparator/>
      </w:r>
    </w:p>
  </w:footnote>
  <w:footnote w:id="1">
    <w:p w:rsidR="00204867" w:rsidRPr="00204867" w:rsidRDefault="00204867">
      <w:pPr>
        <w:pStyle w:val="FootnoteText"/>
        <w:rPr>
          <w:rFonts w:asciiTheme="majorHAnsi" w:hAnsiTheme="majorHAnsi"/>
          <w:sz w:val="16"/>
          <w:szCs w:val="16"/>
        </w:rPr>
      </w:pPr>
      <w:r w:rsidRPr="00204867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04867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04867">
        <w:rPr>
          <w:rFonts w:asciiTheme="majorHAnsi" w:hAnsiTheme="majorHAnsi"/>
          <w:sz w:val="16"/>
          <w:szCs w:val="16"/>
        </w:rPr>
        <w:t>Wyndham City Council.</w:t>
      </w:r>
      <w:proofErr w:type="gramEnd"/>
      <w:r w:rsidRPr="00204867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04867">
        <w:rPr>
          <w:rFonts w:asciiTheme="majorHAnsi" w:hAnsiTheme="majorHAnsi"/>
          <w:sz w:val="16"/>
          <w:szCs w:val="16"/>
        </w:rPr>
        <w:t>(2013/14 to 2015/16).</w:t>
      </w:r>
      <w:proofErr w:type="gramEnd"/>
      <w:r w:rsidRPr="00204867">
        <w:rPr>
          <w:rFonts w:asciiTheme="majorHAnsi" w:hAnsiTheme="majorHAnsi"/>
          <w:sz w:val="16"/>
          <w:szCs w:val="16"/>
        </w:rPr>
        <w:t xml:space="preserve"> Wyndham </w:t>
      </w:r>
      <w:r w:rsidR="009F31FA">
        <w:rPr>
          <w:rFonts w:asciiTheme="majorHAnsi" w:hAnsiTheme="majorHAnsi"/>
          <w:sz w:val="16"/>
          <w:szCs w:val="16"/>
        </w:rPr>
        <w:t>l</w:t>
      </w:r>
      <w:r w:rsidRPr="00204867">
        <w:rPr>
          <w:rFonts w:asciiTheme="majorHAnsi" w:hAnsiTheme="majorHAnsi"/>
          <w:sz w:val="16"/>
          <w:szCs w:val="16"/>
        </w:rPr>
        <w:t>ibraries participation in adu</w:t>
      </w:r>
      <w:r w:rsidR="008D39A3">
        <w:rPr>
          <w:rFonts w:asciiTheme="majorHAnsi" w:hAnsiTheme="majorHAnsi"/>
          <w:sz w:val="16"/>
          <w:szCs w:val="16"/>
        </w:rPr>
        <w:t>lt learning programs statistics</w:t>
      </w:r>
    </w:p>
  </w:footnote>
  <w:footnote w:id="2">
    <w:p w:rsidR="00204867" w:rsidRPr="00BF1425" w:rsidRDefault="00204867">
      <w:pPr>
        <w:pStyle w:val="FootnoteText"/>
        <w:rPr>
          <w:rFonts w:asciiTheme="majorHAnsi" w:hAnsiTheme="majorHAnsi"/>
          <w:sz w:val="16"/>
          <w:szCs w:val="16"/>
        </w:rPr>
      </w:pPr>
      <w:r w:rsidRPr="00204867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04867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04867">
        <w:rPr>
          <w:rFonts w:asciiTheme="majorHAnsi" w:hAnsiTheme="majorHAnsi"/>
          <w:sz w:val="16"/>
          <w:szCs w:val="16"/>
        </w:rPr>
        <w:t>Wyndham City Council.</w:t>
      </w:r>
      <w:proofErr w:type="gramEnd"/>
      <w:r w:rsidRPr="00204867">
        <w:rPr>
          <w:rFonts w:asciiTheme="majorHAnsi" w:hAnsiTheme="majorHAnsi"/>
          <w:sz w:val="16"/>
          <w:szCs w:val="16"/>
        </w:rPr>
        <w:t xml:space="preserve"> (2013 to 2016). Annua</w:t>
      </w:r>
      <w:r w:rsidR="008D39A3">
        <w:rPr>
          <w:rFonts w:asciiTheme="majorHAnsi" w:hAnsiTheme="majorHAnsi"/>
          <w:sz w:val="16"/>
          <w:szCs w:val="16"/>
        </w:rPr>
        <w:t xml:space="preserve">l </w:t>
      </w:r>
      <w:r w:rsidR="009F31FA">
        <w:rPr>
          <w:rFonts w:asciiTheme="majorHAnsi" w:hAnsiTheme="majorHAnsi"/>
          <w:sz w:val="16"/>
          <w:szCs w:val="16"/>
        </w:rPr>
        <w:t>c</w:t>
      </w:r>
      <w:r w:rsidR="008D39A3">
        <w:rPr>
          <w:rFonts w:asciiTheme="majorHAnsi" w:hAnsiTheme="majorHAnsi"/>
          <w:sz w:val="16"/>
          <w:szCs w:val="16"/>
        </w:rPr>
        <w:t xml:space="preserve">ommunity </w:t>
      </w:r>
      <w:r w:rsidR="009F31FA">
        <w:rPr>
          <w:rFonts w:asciiTheme="majorHAnsi" w:hAnsiTheme="majorHAnsi"/>
          <w:sz w:val="16"/>
          <w:szCs w:val="16"/>
        </w:rPr>
        <w:t>s</w:t>
      </w:r>
      <w:r w:rsidR="008D39A3">
        <w:rPr>
          <w:rFonts w:asciiTheme="majorHAnsi" w:hAnsiTheme="majorHAnsi"/>
          <w:sz w:val="16"/>
          <w:szCs w:val="16"/>
        </w:rPr>
        <w:t xml:space="preserve">atisfaction </w:t>
      </w:r>
      <w:r w:rsidR="009F31FA">
        <w:rPr>
          <w:rFonts w:asciiTheme="majorHAnsi" w:hAnsiTheme="majorHAnsi"/>
          <w:sz w:val="16"/>
          <w:szCs w:val="16"/>
        </w:rPr>
        <w:t>s</w:t>
      </w:r>
      <w:r w:rsidR="008D39A3">
        <w:rPr>
          <w:rFonts w:asciiTheme="majorHAnsi" w:hAnsiTheme="majorHAnsi"/>
          <w:sz w:val="16"/>
          <w:szCs w:val="16"/>
        </w:rPr>
        <w:t>urvey</w:t>
      </w:r>
    </w:p>
  </w:footnote>
  <w:footnote w:id="3">
    <w:p w:rsidR="00BF1425" w:rsidRPr="00BF1425" w:rsidRDefault="00BF1425">
      <w:pPr>
        <w:pStyle w:val="FootnoteText"/>
        <w:rPr>
          <w:rFonts w:asciiTheme="majorHAnsi" w:hAnsiTheme="majorHAnsi"/>
          <w:sz w:val="16"/>
          <w:szCs w:val="16"/>
        </w:rPr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BF1425">
        <w:rPr>
          <w:rFonts w:asciiTheme="majorHAnsi" w:hAnsiTheme="majorHAnsi"/>
          <w:sz w:val="16"/>
          <w:szCs w:val="16"/>
        </w:rPr>
        <w:t>National Institute of Econ</w:t>
      </w:r>
      <w:r w:rsidR="009F31FA">
        <w:rPr>
          <w:rFonts w:asciiTheme="majorHAnsi" w:hAnsiTheme="majorHAnsi"/>
          <w:sz w:val="16"/>
          <w:szCs w:val="16"/>
        </w:rPr>
        <w:t>omic and Industry Research.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9F31FA">
        <w:rPr>
          <w:rFonts w:asciiTheme="majorHAnsi" w:hAnsiTheme="majorHAnsi"/>
          <w:sz w:val="16"/>
          <w:szCs w:val="16"/>
        </w:rPr>
        <w:t>(2016)</w:t>
      </w:r>
      <w:r w:rsidR="008D39A3">
        <w:rPr>
          <w:rFonts w:asciiTheme="majorHAnsi" w:hAnsiTheme="majorHAnsi"/>
          <w:sz w:val="16"/>
          <w:szCs w:val="16"/>
        </w:rPr>
        <w:t xml:space="preserve">. </w:t>
      </w:r>
      <w:r w:rsidR="009F31FA">
        <w:rPr>
          <w:rFonts w:asciiTheme="majorHAnsi" w:hAnsiTheme="majorHAnsi"/>
          <w:sz w:val="16"/>
          <w:szCs w:val="16"/>
        </w:rPr>
        <w:t>Jobs growth.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</w:t>
      </w:r>
      <w:r w:rsidR="008D39A3" w:rsidRPr="00BF1425">
        <w:rPr>
          <w:rFonts w:asciiTheme="majorHAnsi" w:hAnsiTheme="majorHAnsi"/>
          <w:sz w:val="16"/>
          <w:szCs w:val="16"/>
        </w:rPr>
        <w:t>Compiled and p</w:t>
      </w:r>
      <w:r w:rsidR="008D39A3">
        <w:rPr>
          <w:rFonts w:asciiTheme="majorHAnsi" w:hAnsiTheme="majorHAnsi"/>
          <w:sz w:val="16"/>
          <w:szCs w:val="16"/>
        </w:rPr>
        <w:t>resented in economy.id</w:t>
      </w:r>
    </w:p>
  </w:footnote>
  <w:footnote w:id="4">
    <w:p w:rsidR="00BF1425" w:rsidRPr="00BF1425" w:rsidRDefault="00BF1425">
      <w:pPr>
        <w:pStyle w:val="FootnoteText"/>
        <w:rPr>
          <w:rFonts w:asciiTheme="majorHAnsi" w:hAnsiTheme="majorHAnsi"/>
          <w:sz w:val="16"/>
          <w:szCs w:val="16"/>
        </w:rPr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9F31FA" w:rsidRPr="00BF1425">
        <w:rPr>
          <w:rFonts w:asciiTheme="majorHAnsi" w:hAnsiTheme="majorHAnsi"/>
          <w:sz w:val="16"/>
          <w:szCs w:val="16"/>
        </w:rPr>
        <w:t>National Institute of Econ</w:t>
      </w:r>
      <w:r w:rsidR="009F31FA">
        <w:rPr>
          <w:rFonts w:asciiTheme="majorHAnsi" w:hAnsiTheme="majorHAnsi"/>
          <w:sz w:val="16"/>
          <w:szCs w:val="16"/>
        </w:rPr>
        <w:t>omic and Industry Research.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9F31FA">
        <w:rPr>
          <w:rFonts w:asciiTheme="majorHAnsi" w:hAnsiTheme="majorHAnsi"/>
          <w:sz w:val="16"/>
          <w:szCs w:val="16"/>
        </w:rPr>
        <w:t>(2016). Jobs growth.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</w:t>
      </w:r>
      <w:r w:rsidR="009F31FA" w:rsidRPr="00BF1425">
        <w:rPr>
          <w:rFonts w:asciiTheme="majorHAnsi" w:hAnsiTheme="majorHAnsi"/>
          <w:sz w:val="16"/>
          <w:szCs w:val="16"/>
        </w:rPr>
        <w:t>Compiled and p</w:t>
      </w:r>
      <w:r w:rsidR="009F31FA">
        <w:rPr>
          <w:rFonts w:asciiTheme="majorHAnsi" w:hAnsiTheme="majorHAnsi"/>
          <w:sz w:val="16"/>
          <w:szCs w:val="16"/>
        </w:rPr>
        <w:t>resented in economy.id</w:t>
      </w:r>
    </w:p>
  </w:footnote>
  <w:footnote w:id="5">
    <w:p w:rsidR="00FA77C0" w:rsidRPr="00BF1425" w:rsidRDefault="00FA77C0" w:rsidP="00FA77C0">
      <w:pPr>
        <w:pStyle w:val="FootnoteText"/>
        <w:rPr>
          <w:rFonts w:asciiTheme="majorHAnsi" w:hAnsiTheme="majorHAnsi"/>
          <w:sz w:val="16"/>
          <w:szCs w:val="16"/>
        </w:rPr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BF1425">
        <w:rPr>
          <w:rFonts w:asciiTheme="majorHAnsi" w:hAnsiTheme="majorHAnsi"/>
          <w:sz w:val="16"/>
          <w:szCs w:val="16"/>
        </w:rPr>
        <w:t>Australian Bureau of Statistics</w:t>
      </w:r>
      <w:r w:rsidR="0012600C">
        <w:rPr>
          <w:rFonts w:asciiTheme="majorHAnsi" w:hAnsiTheme="majorHAnsi"/>
          <w:sz w:val="16"/>
          <w:szCs w:val="16"/>
        </w:rPr>
        <w:t>.</w:t>
      </w:r>
      <w:proofErr w:type="gramEnd"/>
      <w:r w:rsidR="0012600C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12600C">
        <w:rPr>
          <w:rFonts w:asciiTheme="majorHAnsi" w:hAnsiTheme="majorHAnsi"/>
          <w:sz w:val="16"/>
          <w:szCs w:val="16"/>
        </w:rPr>
        <w:t>(2011).</w:t>
      </w:r>
      <w:r w:rsidRPr="00BF1425">
        <w:rPr>
          <w:rFonts w:asciiTheme="majorHAnsi" w:hAnsiTheme="majorHAnsi"/>
          <w:sz w:val="16"/>
          <w:szCs w:val="16"/>
        </w:rPr>
        <w:t xml:space="preserve"> Census of Population and Housing</w:t>
      </w:r>
      <w:r w:rsidR="009F31FA">
        <w:rPr>
          <w:rFonts w:asciiTheme="majorHAnsi" w:hAnsiTheme="majorHAnsi"/>
          <w:sz w:val="16"/>
          <w:szCs w:val="16"/>
        </w:rPr>
        <w:t>.</w:t>
      </w:r>
      <w:proofErr w:type="gramEnd"/>
      <w:r w:rsidR="009F31FA">
        <w:rPr>
          <w:rFonts w:asciiTheme="majorHAnsi" w:hAnsiTheme="majorHAnsi"/>
          <w:sz w:val="16"/>
          <w:szCs w:val="16"/>
        </w:rPr>
        <w:t xml:space="preserve"> Analysis by Wyndham Council via ABS </w:t>
      </w:r>
      <w:proofErr w:type="spellStart"/>
      <w:r w:rsidR="009F31FA">
        <w:rPr>
          <w:rFonts w:asciiTheme="majorHAnsi" w:hAnsiTheme="majorHAnsi"/>
          <w:sz w:val="16"/>
          <w:szCs w:val="16"/>
        </w:rPr>
        <w:t>Tablebuiler</w:t>
      </w:r>
      <w:proofErr w:type="spellEnd"/>
    </w:p>
  </w:footnote>
  <w:footnote w:id="6">
    <w:p w:rsidR="00FA77C0" w:rsidRDefault="00FA77C0" w:rsidP="00FA77C0">
      <w:pPr>
        <w:pStyle w:val="FootnoteText"/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0C6BF8" w:rsidRPr="00BF1425">
        <w:rPr>
          <w:rFonts w:asciiTheme="majorHAnsi" w:hAnsiTheme="majorHAnsi"/>
          <w:sz w:val="16"/>
          <w:szCs w:val="16"/>
        </w:rPr>
        <w:t>Australian Bureau of Statistics</w:t>
      </w:r>
      <w:r w:rsidR="000C6BF8">
        <w:rPr>
          <w:rFonts w:asciiTheme="majorHAnsi" w:hAnsiTheme="majorHAnsi"/>
          <w:sz w:val="16"/>
          <w:szCs w:val="16"/>
        </w:rPr>
        <w:t>.</w:t>
      </w:r>
      <w:proofErr w:type="gramEnd"/>
      <w:r w:rsidR="000C6BF8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="000C6BF8">
        <w:rPr>
          <w:rFonts w:asciiTheme="majorHAnsi" w:hAnsiTheme="majorHAnsi"/>
          <w:sz w:val="16"/>
          <w:szCs w:val="16"/>
        </w:rPr>
        <w:t>(2016).</w:t>
      </w:r>
      <w:r w:rsidR="000C6BF8" w:rsidRPr="00BF1425">
        <w:rPr>
          <w:rFonts w:asciiTheme="majorHAnsi" w:hAnsiTheme="majorHAnsi"/>
          <w:sz w:val="16"/>
          <w:szCs w:val="16"/>
        </w:rPr>
        <w:t xml:space="preserve"> Census of Population and Housing</w:t>
      </w:r>
      <w:r w:rsidR="000C6BF8">
        <w:rPr>
          <w:rFonts w:asciiTheme="majorHAnsi" w:hAnsiTheme="majorHAnsi"/>
          <w:sz w:val="16"/>
          <w:szCs w:val="16"/>
        </w:rPr>
        <w:t>.</w:t>
      </w:r>
      <w:proofErr w:type="gramEnd"/>
      <w:r w:rsidR="000C6BF8">
        <w:rPr>
          <w:rFonts w:asciiTheme="majorHAnsi" w:hAnsiTheme="majorHAnsi"/>
          <w:sz w:val="16"/>
          <w:szCs w:val="16"/>
        </w:rPr>
        <w:t xml:space="preserve"> Analysis by Wyndham Council via ABS </w:t>
      </w:r>
      <w:proofErr w:type="spellStart"/>
      <w:r w:rsidR="000C6BF8">
        <w:rPr>
          <w:rFonts w:asciiTheme="majorHAnsi" w:hAnsiTheme="majorHAnsi"/>
          <w:sz w:val="16"/>
          <w:szCs w:val="16"/>
        </w:rPr>
        <w:t>Tablebuiler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0201987" wp14:editId="2A802F21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F"/>
    <w:rsid w:val="0004478A"/>
    <w:rsid w:val="00066BC8"/>
    <w:rsid w:val="00071950"/>
    <w:rsid w:val="00072AC2"/>
    <w:rsid w:val="000C6BF8"/>
    <w:rsid w:val="000D338F"/>
    <w:rsid w:val="000E4083"/>
    <w:rsid w:val="000F5687"/>
    <w:rsid w:val="00101D8F"/>
    <w:rsid w:val="0010335E"/>
    <w:rsid w:val="0012600C"/>
    <w:rsid w:val="001877F7"/>
    <w:rsid w:val="001E1BCC"/>
    <w:rsid w:val="00204504"/>
    <w:rsid w:val="00204867"/>
    <w:rsid w:val="00204F8D"/>
    <w:rsid w:val="00211CA1"/>
    <w:rsid w:val="00220144"/>
    <w:rsid w:val="0023221E"/>
    <w:rsid w:val="00254715"/>
    <w:rsid w:val="002D239A"/>
    <w:rsid w:val="0034536F"/>
    <w:rsid w:val="00362341"/>
    <w:rsid w:val="00376C86"/>
    <w:rsid w:val="00386175"/>
    <w:rsid w:val="003C0E22"/>
    <w:rsid w:val="003E2167"/>
    <w:rsid w:val="004141EE"/>
    <w:rsid w:val="0041664F"/>
    <w:rsid w:val="0042191C"/>
    <w:rsid w:val="00430DB0"/>
    <w:rsid w:val="004A31FF"/>
    <w:rsid w:val="00596B21"/>
    <w:rsid w:val="005A4AFC"/>
    <w:rsid w:val="00604363"/>
    <w:rsid w:val="006357F8"/>
    <w:rsid w:val="00670C3A"/>
    <w:rsid w:val="006F1EA8"/>
    <w:rsid w:val="006F32E8"/>
    <w:rsid w:val="007111A4"/>
    <w:rsid w:val="007319C1"/>
    <w:rsid w:val="00756049"/>
    <w:rsid w:val="007603CA"/>
    <w:rsid w:val="0076369F"/>
    <w:rsid w:val="007B2BEF"/>
    <w:rsid w:val="007F500D"/>
    <w:rsid w:val="007F7E71"/>
    <w:rsid w:val="00893A96"/>
    <w:rsid w:val="008D39A3"/>
    <w:rsid w:val="00951D17"/>
    <w:rsid w:val="00996DAF"/>
    <w:rsid w:val="009D476B"/>
    <w:rsid w:val="009E295A"/>
    <w:rsid w:val="009F31FA"/>
    <w:rsid w:val="00A157C9"/>
    <w:rsid w:val="00A954D9"/>
    <w:rsid w:val="00B16F22"/>
    <w:rsid w:val="00B32BAE"/>
    <w:rsid w:val="00BB6A5D"/>
    <w:rsid w:val="00BD1367"/>
    <w:rsid w:val="00BF1425"/>
    <w:rsid w:val="00C135CE"/>
    <w:rsid w:val="00C20C72"/>
    <w:rsid w:val="00C57D6F"/>
    <w:rsid w:val="00C723DB"/>
    <w:rsid w:val="00C80A6E"/>
    <w:rsid w:val="00CE605D"/>
    <w:rsid w:val="00D520C7"/>
    <w:rsid w:val="00D62CF1"/>
    <w:rsid w:val="00D76AD9"/>
    <w:rsid w:val="00DE40E3"/>
    <w:rsid w:val="00DF0D56"/>
    <w:rsid w:val="00E130AF"/>
    <w:rsid w:val="00E60950"/>
    <w:rsid w:val="00E62FDC"/>
    <w:rsid w:val="00F4181E"/>
    <w:rsid w:val="00F82156"/>
    <w:rsid w:val="00FA5F9F"/>
    <w:rsid w:val="00FA77C0"/>
    <w:rsid w:val="00FB4DBA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59"/>
    <w:rsid w:val="0059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86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04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59"/>
    <w:rsid w:val="0059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86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04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dLbls>
            <c:dLbl>
              <c:idx val="1"/>
              <c:layout>
                <c:manualLayout>
                  <c:x val="2.4193548387096774E-2"/>
                  <c:y val="-1.6423365923584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'Earning and Learning'!$B$4:$B$6</c:f>
              <c:strCache>
                <c:ptCount val="3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</c:strCache>
            </c:strRef>
          </c:cat>
          <c:val>
            <c:numRef>
              <c:f>'Earning and Learning'!$C$4:$C$6</c:f>
              <c:numCache>
                <c:formatCode>General</c:formatCode>
                <c:ptCount val="3"/>
                <c:pt idx="0">
                  <c:v>2054</c:v>
                </c:pt>
                <c:pt idx="1">
                  <c:v>5065</c:v>
                </c:pt>
                <c:pt idx="2">
                  <c:v>4714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922688"/>
        <c:axId val="210547840"/>
      </c:lineChart>
      <c:catAx>
        <c:axId val="209922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547840"/>
        <c:crosses val="autoZero"/>
        <c:auto val="1"/>
        <c:lblAlgn val="ctr"/>
        <c:lblOffset val="100"/>
        <c:noMultiLvlLbl val="0"/>
      </c:catAx>
      <c:valAx>
        <c:axId val="210547840"/>
        <c:scaling>
          <c:orientation val="minMax"/>
          <c:min val="15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AU" b="0"/>
                  <a:t>Number of participants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9922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69127296587928"/>
          <c:y val="8.7975591799044142E-2"/>
          <c:w val="0.74730872703412077"/>
          <c:h val="0.71356742853970279"/>
        </c:manualLayout>
      </c:layout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'Earning and Learning'!$B$12:$B$15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'Earning and Learning'!$C$12:$C$15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8.4600000000000009</c:v>
                </c:pt>
                <c:pt idx="2">
                  <c:v>8.6300000000000008</c:v>
                </c:pt>
                <c:pt idx="3">
                  <c:v>8.5399999999999991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371392"/>
        <c:axId val="47372928"/>
      </c:lineChart>
      <c:catAx>
        <c:axId val="473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372928"/>
        <c:crosses val="autoZero"/>
        <c:auto val="1"/>
        <c:lblAlgn val="ctr"/>
        <c:lblOffset val="100"/>
        <c:noMultiLvlLbl val="0"/>
      </c:catAx>
      <c:valAx>
        <c:axId val="473729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AU" b="0"/>
                  <a:t>Rating out of 10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1347785667045185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737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'Earning and Learning'!$C$22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'Earning and Learning'!$B$23:$B$29</c:f>
              <c:strCache>
                <c:ptCount val="7"/>
                <c:pt idx="0">
                  <c:v>Wyndham </c:v>
                </c:pt>
                <c:pt idx="1">
                  <c:v>Cardinia</c:v>
                </c:pt>
                <c:pt idx="2">
                  <c:v>Casey</c:v>
                </c:pt>
                <c:pt idx="3">
                  <c:v>Melton</c:v>
                </c:pt>
                <c:pt idx="4">
                  <c:v>Whittlesea</c:v>
                </c:pt>
                <c:pt idx="5">
                  <c:v>Hume</c:v>
                </c:pt>
                <c:pt idx="6">
                  <c:v>Victoria </c:v>
                </c:pt>
              </c:strCache>
            </c:strRef>
          </c:cat>
          <c:val>
            <c:numRef>
              <c:f>'Earning and Learning'!$C$23:$C$29</c:f>
              <c:numCache>
                <c:formatCode>0.00%</c:formatCode>
                <c:ptCount val="7"/>
                <c:pt idx="0">
                  <c:v>8.1000000000000003E-2</c:v>
                </c:pt>
                <c:pt idx="1">
                  <c:v>4.0399999999999998E-2</c:v>
                </c:pt>
                <c:pt idx="2">
                  <c:v>3.1600000000000003E-2</c:v>
                </c:pt>
                <c:pt idx="3">
                  <c:v>5.0200000000000002E-2</c:v>
                </c:pt>
                <c:pt idx="4">
                  <c:v>2.76E-2</c:v>
                </c:pt>
                <c:pt idx="5">
                  <c:v>6.4899999999999999E-2</c:v>
                </c:pt>
                <c:pt idx="6">
                  <c:v>2.06E-2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63456"/>
        <c:axId val="210981632"/>
      </c:barChart>
      <c:catAx>
        <c:axId val="21096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10981632"/>
        <c:crosses val="autoZero"/>
        <c:auto val="1"/>
        <c:lblAlgn val="ctr"/>
        <c:lblOffset val="100"/>
        <c:noMultiLvlLbl val="0"/>
      </c:catAx>
      <c:valAx>
        <c:axId val="21098163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10963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99163668909726E-2"/>
          <c:y val="5.5753039179181167E-2"/>
          <c:w val="0.8065917040556787"/>
          <c:h val="0.69325948324900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'Earning and Learning'!$C$33</c:f>
              <c:strCache>
                <c:ptCount val="1"/>
                <c:pt idx="0">
                  <c:v>GRP $m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'Earning and Learning'!$B$34:$B$39</c:f>
              <c:strCache>
                <c:ptCount val="6"/>
                <c:pt idx="0">
                  <c:v>Wyndham </c:v>
                </c:pt>
                <c:pt idx="1">
                  <c:v>Casey</c:v>
                </c:pt>
                <c:pt idx="2">
                  <c:v>Hume</c:v>
                </c:pt>
                <c:pt idx="3">
                  <c:v>Melton</c:v>
                </c:pt>
                <c:pt idx="4">
                  <c:v>Whittlesea</c:v>
                </c:pt>
                <c:pt idx="5">
                  <c:v>Cardinia</c:v>
                </c:pt>
              </c:strCache>
            </c:strRef>
          </c:cat>
          <c:val>
            <c:numRef>
              <c:f>'Earning and Learning'!$C$34:$C$39</c:f>
              <c:numCache>
                <c:formatCode>0</c:formatCode>
                <c:ptCount val="6"/>
                <c:pt idx="0">
                  <c:v>8454</c:v>
                </c:pt>
                <c:pt idx="1">
                  <c:v>7657</c:v>
                </c:pt>
                <c:pt idx="2">
                  <c:v>12490</c:v>
                </c:pt>
                <c:pt idx="3">
                  <c:v>3248</c:v>
                </c:pt>
                <c:pt idx="4">
                  <c:v>6371</c:v>
                </c:pt>
                <c:pt idx="5">
                  <c:v>2890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008128"/>
        <c:axId val="211018112"/>
      </c:barChart>
      <c:lineChart>
        <c:grouping val="standard"/>
        <c:varyColors val="0"/>
        <c:ser>
          <c:idx val="1"/>
          <c:order val="1"/>
          <c:tx>
            <c:strRef>
              <c:f>'Earning and Learning'!$D$33</c:f>
              <c:strCache>
                <c:ptCount val="1"/>
                <c:pt idx="0">
                  <c:v> % of Victoria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pPr>
              <a:solidFill>
                <a:schemeClr val="tx2">
                  <a:lumMod val="5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marker>
          <c:dLbls>
            <c:numFmt formatCode="0.0%" sourceLinked="0"/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'Earning and Learning'!$B$34:$B$39</c:f>
              <c:strCache>
                <c:ptCount val="6"/>
                <c:pt idx="0">
                  <c:v>Wyndham </c:v>
                </c:pt>
                <c:pt idx="1">
                  <c:v>Casey</c:v>
                </c:pt>
                <c:pt idx="2">
                  <c:v>Hume</c:v>
                </c:pt>
                <c:pt idx="3">
                  <c:v>Melton</c:v>
                </c:pt>
                <c:pt idx="4">
                  <c:v>Whittlesea</c:v>
                </c:pt>
                <c:pt idx="5">
                  <c:v>Cardinia</c:v>
                </c:pt>
              </c:strCache>
            </c:strRef>
          </c:cat>
          <c:val>
            <c:numRef>
              <c:f>'Earning and Learning'!$D$34:$D$39</c:f>
              <c:numCache>
                <c:formatCode>0.00%</c:formatCode>
                <c:ptCount val="6"/>
                <c:pt idx="0">
                  <c:v>2.2800000000000001E-2</c:v>
                </c:pt>
                <c:pt idx="1">
                  <c:v>2.06E-2</c:v>
                </c:pt>
                <c:pt idx="2">
                  <c:v>3.3799999999999997E-2</c:v>
                </c:pt>
                <c:pt idx="3">
                  <c:v>8.8999999999999999E-3</c:v>
                </c:pt>
                <c:pt idx="4">
                  <c:v>1.72E-2</c:v>
                </c:pt>
                <c:pt idx="5">
                  <c:v>7.7999999999999996E-3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021184"/>
        <c:axId val="211019648"/>
      </c:lineChart>
      <c:catAx>
        <c:axId val="21100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018112"/>
        <c:crosses val="autoZero"/>
        <c:auto val="1"/>
        <c:lblAlgn val="ctr"/>
        <c:lblOffset val="100"/>
        <c:noMultiLvlLbl val="0"/>
      </c:catAx>
      <c:valAx>
        <c:axId val="2110181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11008128"/>
        <c:crosses val="autoZero"/>
        <c:crossBetween val="between"/>
      </c:valAx>
      <c:valAx>
        <c:axId val="211019648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crossAx val="211021184"/>
        <c:crosses val="max"/>
        <c:crossBetween val="between"/>
      </c:valAx>
      <c:catAx>
        <c:axId val="211021184"/>
        <c:scaling>
          <c:orientation val="minMax"/>
        </c:scaling>
        <c:delete val="1"/>
        <c:axPos val="b"/>
        <c:majorTickMark val="out"/>
        <c:minorTickMark val="none"/>
        <c:tickLblPos val="nextTo"/>
        <c:crossAx val="21101964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30921245628837901"/>
          <c:y val="0.82140574633494012"/>
          <c:w val="0.37692775325490591"/>
          <c:h val="0.1784808838058740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'Earning and Learning'!$C$45</c:f>
              <c:strCache>
                <c:ptCount val="1"/>
                <c:pt idx="0">
                  <c:v>% 15-25 yr olds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'Earning and Learning'!$B$46:$B$48</c:f>
              <c:strCache>
                <c:ptCount val="3"/>
                <c:pt idx="0">
                  <c:v>Wyndham</c:v>
                </c:pt>
                <c:pt idx="1">
                  <c:v>Greater Melbounre</c:v>
                </c:pt>
                <c:pt idx="2">
                  <c:v>Victoria</c:v>
                </c:pt>
              </c:strCache>
            </c:strRef>
          </c:cat>
          <c:val>
            <c:numRef>
              <c:f>'Earning and Learning'!$C$46:$C$48</c:f>
              <c:numCache>
                <c:formatCode>0.00%</c:formatCode>
                <c:ptCount val="3"/>
                <c:pt idx="0">
                  <c:v>6.9000000000000006E-2</c:v>
                </c:pt>
                <c:pt idx="1">
                  <c:v>4.8099999999999997E-2</c:v>
                </c:pt>
                <c:pt idx="2">
                  <c:v>5.3400000000000003E-2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686976"/>
        <c:axId val="216688512"/>
      </c:barChart>
      <c:catAx>
        <c:axId val="21668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6688512"/>
        <c:crosses val="autoZero"/>
        <c:auto val="1"/>
        <c:lblAlgn val="ctr"/>
        <c:lblOffset val="100"/>
        <c:noMultiLvlLbl val="0"/>
      </c:catAx>
      <c:valAx>
        <c:axId val="21668851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16686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'Earning and Learning'!$B$55:$B$57</c:f>
              <c:strCache>
                <c:ptCount val="3"/>
                <c:pt idx="0">
                  <c:v>Wyndham</c:v>
                </c:pt>
                <c:pt idx="1">
                  <c:v>Greater Melbourne</c:v>
                </c:pt>
                <c:pt idx="2">
                  <c:v>Victoria</c:v>
                </c:pt>
              </c:strCache>
            </c:strRef>
          </c:cat>
          <c:val>
            <c:numRef>
              <c:f>'Earning and Learning'!$C$55:$C$57</c:f>
              <c:numCache>
                <c:formatCode>0.00%</c:formatCode>
                <c:ptCount val="3"/>
                <c:pt idx="0">
                  <c:v>8.2000000000000003E-2</c:v>
                </c:pt>
                <c:pt idx="1">
                  <c:v>0.104</c:v>
                </c:pt>
                <c:pt idx="2">
                  <c:v>9.0999999999999998E-2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709376"/>
        <c:axId val="216723456"/>
      </c:barChart>
      <c:catAx>
        <c:axId val="21670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6723456"/>
        <c:crosses val="autoZero"/>
        <c:auto val="1"/>
        <c:lblAlgn val="ctr"/>
        <c:lblOffset val="100"/>
        <c:noMultiLvlLbl val="0"/>
      </c:catAx>
      <c:valAx>
        <c:axId val="2167234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6709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A0DC4-59C3-4CBE-89C1-8A9E7A80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1803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2017-07-20T04:37:00Z</dcterms:created>
  <dcterms:modified xsi:type="dcterms:W3CDTF">2017-07-20T04:37:00Z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A1701924</vt:lpwstr>
  </property>
  <property fmtid="{D5CDD505-2E9C-101B-9397-08002B2CF9AE}" pid="4" name="Objective-Title">
    <vt:lpwstr>City Plan - Strategic Indicators - Earning and Learning 8.06.17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2017-06-08T05:56:56Z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2017-07-12T22:22:18Z</vt:filetime>
  </property>
  <property fmtid="{D5CDD505-2E9C-101B-9397-08002B2CF9AE}" pid="10" name="Objective-ModificationStamp">
    <vt:filetime>2017-07-12T22:22:18Z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