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9E4461" w:rsidRDefault="009E4461" w:rsidP="0052780F">
          <w:pPr>
            <w:spacing w:after="0"/>
          </w:pPr>
          <w:r>
            <w:rPr>
              <w:noProof/>
              <w:lang w:eastAsia="en-AU"/>
            </w:rPr>
            <w:drawing>
              <wp:anchor distT="0" distB="0" distL="114300" distR="114300" simplePos="0" relativeHeight="251658240" behindDoc="0" locked="0" layoutInCell="1" allowOverlap="1" wp14:anchorId="21E0FB3C" wp14:editId="4F12F09B">
                <wp:simplePos x="0" y="0"/>
                <wp:positionH relativeFrom="column">
                  <wp:posOffset>-933139</wp:posOffset>
                </wp:positionH>
                <wp:positionV relativeFrom="paragraph">
                  <wp:posOffset>-922069</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rsidR="009E4461" w:rsidRDefault="009E4461" w:rsidP="0052780F">
          <w:pPr>
            <w:spacing w:after="0"/>
          </w:pPr>
        </w:p>
        <w:p w:rsidR="009E4461" w:rsidRDefault="009E4461" w:rsidP="0052780F">
          <w:pPr>
            <w:spacing w:after="0"/>
          </w:pPr>
        </w:p>
        <w:p w:rsidR="004308C1" w:rsidRDefault="009E4461" w:rsidP="0052780F">
          <w:pPr>
            <w:spacing w:after="0"/>
          </w:pPr>
          <w:r w:rsidRPr="009E4461">
            <w:rPr>
              <w:noProof/>
              <w:lang w:eastAsia="en-AU"/>
            </w:rPr>
            <mc:AlternateContent>
              <mc:Choice Requires="wps">
                <w:drawing>
                  <wp:anchor distT="0" distB="0" distL="114300" distR="114300" simplePos="0" relativeHeight="251661312" behindDoc="0" locked="0" layoutInCell="1" allowOverlap="1" wp14:anchorId="24A552E9" wp14:editId="756A7DFF">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9E4461" w:rsidRPr="002D26EB" w:rsidRDefault="000F4E28" w:rsidP="009E4461">
                                <w:pPr>
                                  <w:spacing w:after="0" w:line="240" w:lineRule="auto"/>
                                  <w:rPr>
                                    <w:rFonts w:ascii="DaxOT-Regular" w:hAnsi="DaxOT-Regular"/>
                                    <w:color w:val="002060"/>
                                    <w:sz w:val="36"/>
                                    <w:szCs w:val="36"/>
                                  </w:rPr>
                                </w:pPr>
                                <w:r>
                                  <w:rPr>
                                    <w:rFonts w:ascii="DaxOT-Regular" w:hAnsi="DaxOT-Regular"/>
                                    <w:color w:val="002060"/>
                                    <w:sz w:val="44"/>
                                    <w:szCs w:val="44"/>
                                  </w:rPr>
                                  <w:t>March</w:t>
                                </w:r>
                                <w:r w:rsidR="00EF4E93">
                                  <w:rPr>
                                    <w:rFonts w:ascii="DaxOT-Regular" w:hAnsi="DaxOT-Regular"/>
                                    <w:color w:val="002060"/>
                                    <w:sz w:val="44"/>
                                    <w:szCs w:val="44"/>
                                  </w:rPr>
                                  <w:t xml:space="preserve"> </w:t>
                                </w:r>
                                <w:r w:rsidR="004308C1">
                                  <w:rPr>
                                    <w:rFonts w:ascii="DaxOT-Regular" w:hAnsi="DaxOT-Regular"/>
                                    <w:color w:val="002060"/>
                                    <w:sz w:val="44"/>
                                    <w:szCs w:val="44"/>
                                  </w:rPr>
                                  <w:t xml:space="preserve">2017 </w:t>
                                </w:r>
                              </w:p>
                              <w:p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rsidR="009E4461" w:rsidRPr="002D26EB" w:rsidRDefault="000F4E28" w:rsidP="009E4461">
                          <w:pPr>
                            <w:spacing w:after="0" w:line="240" w:lineRule="auto"/>
                            <w:rPr>
                              <w:rFonts w:ascii="DaxOT-Regular" w:hAnsi="DaxOT-Regular"/>
                              <w:color w:val="002060"/>
                              <w:sz w:val="36"/>
                              <w:szCs w:val="36"/>
                            </w:rPr>
                          </w:pPr>
                          <w:r>
                            <w:rPr>
                              <w:rFonts w:ascii="DaxOT-Regular" w:hAnsi="DaxOT-Regular"/>
                              <w:color w:val="002060"/>
                              <w:sz w:val="44"/>
                              <w:szCs w:val="44"/>
                            </w:rPr>
                            <w:t>March</w:t>
                          </w:r>
                          <w:r w:rsidR="00EF4E93">
                            <w:rPr>
                              <w:rFonts w:ascii="DaxOT-Regular" w:hAnsi="DaxOT-Regular"/>
                              <w:color w:val="002060"/>
                              <w:sz w:val="44"/>
                              <w:szCs w:val="44"/>
                            </w:rPr>
                            <w:t xml:space="preserve"> </w:t>
                          </w:r>
                          <w:r w:rsidR="004308C1">
                            <w:rPr>
                              <w:rFonts w:ascii="DaxOT-Regular" w:hAnsi="DaxOT-Regular"/>
                              <w:color w:val="002060"/>
                              <w:sz w:val="44"/>
                              <w:szCs w:val="44"/>
                            </w:rPr>
                            <w:t xml:space="preserve">2017 </w:t>
                          </w:r>
                        </w:p>
                        <w:p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1170992C" wp14:editId="27B0F84A">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9E4461" w:rsidRPr="00EF4E93" w:rsidRDefault="004308C1" w:rsidP="009E4461">
                                <w:pPr>
                                  <w:pStyle w:val="Footer"/>
                                  <w:rPr>
                                    <w:rFonts w:ascii="Calibri Light" w:eastAsiaTheme="majorEastAsia" w:hAnsi="Calibri Light" w:cstheme="majorBidi"/>
                                    <w:b/>
                                    <w:color w:val="002060"/>
                                    <w:sz w:val="56"/>
                                    <w:szCs w:val="56"/>
                                  </w:rPr>
                                </w:pPr>
                                <w:r w:rsidRPr="00EF4E93">
                                  <w:rPr>
                                    <w:rFonts w:ascii="Calibri Light" w:eastAsiaTheme="majorEastAsia" w:hAnsi="Calibri Light" w:cstheme="majorBidi"/>
                                    <w:b/>
                                    <w:color w:val="002060"/>
                                    <w:sz w:val="56"/>
                                    <w:szCs w:val="56"/>
                                  </w:rPr>
                                  <w:t xml:space="preserve">Wyndham Community Health and Wellbeing Profiles </w:t>
                                </w:r>
                                <w:r w:rsidR="00EF4E93">
                                  <w:rPr>
                                    <w:rFonts w:ascii="Calibri Light" w:eastAsiaTheme="majorEastAsia" w:hAnsi="Calibri Light" w:cstheme="majorBidi"/>
                                    <w:b/>
                                    <w:color w:val="002060"/>
                                    <w:sz w:val="56"/>
                                    <w:szCs w:val="56"/>
                                  </w:rPr>
                                  <w:t xml:space="preserve">- </w:t>
                                </w:r>
                                <w:r w:rsidRPr="00EF4E93">
                                  <w:rPr>
                                    <w:rFonts w:ascii="Calibri Light" w:eastAsiaTheme="majorEastAsia" w:hAnsi="Calibri Light" w:cstheme="majorBidi"/>
                                    <w:b/>
                                    <w:color w:val="002060"/>
                                    <w:sz w:val="56"/>
                                    <w:szCs w:val="56"/>
                                  </w:rPr>
                                  <w:t xml:space="preserve">Summary </w:t>
                                </w:r>
                              </w:p>
                              <w:p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rsidR="009E4461" w:rsidRPr="00EF4E93" w:rsidRDefault="004308C1" w:rsidP="009E4461">
                          <w:pPr>
                            <w:pStyle w:val="Footer"/>
                            <w:rPr>
                              <w:rFonts w:ascii="Calibri Light" w:eastAsiaTheme="majorEastAsia" w:hAnsi="Calibri Light" w:cstheme="majorBidi"/>
                              <w:b/>
                              <w:color w:val="002060"/>
                              <w:sz w:val="56"/>
                              <w:szCs w:val="56"/>
                            </w:rPr>
                          </w:pPr>
                          <w:r w:rsidRPr="00EF4E93">
                            <w:rPr>
                              <w:rFonts w:ascii="Calibri Light" w:eastAsiaTheme="majorEastAsia" w:hAnsi="Calibri Light" w:cstheme="majorBidi"/>
                              <w:b/>
                              <w:color w:val="002060"/>
                              <w:sz w:val="56"/>
                              <w:szCs w:val="56"/>
                            </w:rPr>
                            <w:t xml:space="preserve">Wyndham Community Health and Wellbeing Profiles </w:t>
                          </w:r>
                          <w:r w:rsidR="00EF4E93">
                            <w:rPr>
                              <w:rFonts w:ascii="Calibri Light" w:eastAsiaTheme="majorEastAsia" w:hAnsi="Calibri Light" w:cstheme="majorBidi"/>
                              <w:b/>
                              <w:color w:val="002060"/>
                              <w:sz w:val="56"/>
                              <w:szCs w:val="56"/>
                            </w:rPr>
                            <w:t xml:space="preserve">- </w:t>
                          </w:r>
                          <w:r w:rsidRPr="00EF4E93">
                            <w:rPr>
                              <w:rFonts w:ascii="Calibri Light" w:eastAsiaTheme="majorEastAsia" w:hAnsi="Calibri Light" w:cstheme="majorBidi"/>
                              <w:b/>
                              <w:color w:val="002060"/>
                              <w:sz w:val="56"/>
                              <w:szCs w:val="56"/>
                            </w:rPr>
                            <w:t xml:space="preserve">Summary </w:t>
                          </w:r>
                        </w:p>
                        <w:p w:rsidR="009E4461" w:rsidRPr="003C2A03" w:rsidRDefault="009E4461" w:rsidP="009E4461">
                          <w:pPr>
                            <w:rPr>
                              <w:rFonts w:ascii="DaxOT-Medium" w:hAnsi="DaxOT-Medium"/>
                              <w:color w:val="7030A0"/>
                            </w:rPr>
                          </w:pPr>
                        </w:p>
                      </w:txbxContent>
                    </v:textbox>
                  </v:shape>
                </w:pict>
              </mc:Fallback>
            </mc:AlternateContent>
          </w:r>
          <w:r>
            <w:br w:type="page"/>
          </w:r>
        </w:p>
      </w:sdtContent>
    </w:sdt>
    <w:p w:rsidR="004308C1" w:rsidRPr="00BA24E2" w:rsidRDefault="004308C1" w:rsidP="00BA24E2">
      <w:pPr>
        <w:pStyle w:val="Heading1"/>
      </w:pPr>
      <w:r w:rsidRPr="00BA24E2">
        <w:lastRenderedPageBreak/>
        <w:t>Introduction</w:t>
      </w:r>
    </w:p>
    <w:p w:rsidR="00EF4E93" w:rsidRDefault="004308C1" w:rsidP="0052780F">
      <w:pPr>
        <w:pStyle w:val="Default"/>
        <w:spacing w:line="276" w:lineRule="auto"/>
        <w:rPr>
          <w:sz w:val="22"/>
          <w:szCs w:val="22"/>
        </w:rPr>
      </w:pPr>
      <w:r>
        <w:rPr>
          <w:sz w:val="22"/>
          <w:szCs w:val="22"/>
        </w:rPr>
        <w:t>Wyndham City actively plans for positive health and wellbeing outcomes for our community. To</w:t>
      </w:r>
      <w:r w:rsidR="00EF4E93">
        <w:rPr>
          <w:sz w:val="22"/>
          <w:szCs w:val="22"/>
        </w:rPr>
        <w:t xml:space="preserve"> support evidenced-</w:t>
      </w:r>
      <w:r>
        <w:rPr>
          <w:sz w:val="22"/>
          <w:szCs w:val="22"/>
        </w:rPr>
        <w:t xml:space="preserve">based planning, we have developed Health and Wellbeing Profiles outlining how Wyndham residents fare on </w:t>
      </w:r>
      <w:r w:rsidR="00A65FB7">
        <w:rPr>
          <w:sz w:val="22"/>
          <w:szCs w:val="22"/>
        </w:rPr>
        <w:t>11</w:t>
      </w:r>
      <w:r>
        <w:rPr>
          <w:sz w:val="22"/>
          <w:szCs w:val="22"/>
        </w:rPr>
        <w:t xml:space="preserve"> key determinants of health and wellbeing. </w:t>
      </w:r>
    </w:p>
    <w:p w:rsidR="00EF4E93" w:rsidRDefault="00EF4E93" w:rsidP="0052780F">
      <w:pPr>
        <w:pStyle w:val="Default"/>
        <w:spacing w:line="276" w:lineRule="auto"/>
        <w:rPr>
          <w:sz w:val="22"/>
          <w:szCs w:val="22"/>
        </w:rPr>
      </w:pPr>
    </w:p>
    <w:p w:rsidR="004308C1" w:rsidRDefault="00EF4E93" w:rsidP="0052780F">
      <w:pPr>
        <w:pStyle w:val="Default"/>
        <w:spacing w:line="276" w:lineRule="auto"/>
        <w:rPr>
          <w:rStyle w:val="Hyperlink"/>
          <w:sz w:val="22"/>
          <w:szCs w:val="22"/>
        </w:rPr>
      </w:pPr>
      <w:r>
        <w:rPr>
          <w:sz w:val="22"/>
          <w:szCs w:val="22"/>
        </w:rPr>
        <w:t xml:space="preserve">This </w:t>
      </w:r>
      <w:r w:rsidR="004308C1">
        <w:rPr>
          <w:sz w:val="22"/>
          <w:szCs w:val="22"/>
        </w:rPr>
        <w:t xml:space="preserve">summary </w:t>
      </w:r>
      <w:r>
        <w:rPr>
          <w:sz w:val="22"/>
          <w:szCs w:val="22"/>
        </w:rPr>
        <w:t xml:space="preserve">document </w:t>
      </w:r>
      <w:r w:rsidR="004308C1">
        <w:rPr>
          <w:sz w:val="22"/>
          <w:szCs w:val="22"/>
        </w:rPr>
        <w:t xml:space="preserve">presents the key topics and statistics outlined in the Health and Wellbeing Profiles. The full </w:t>
      </w:r>
      <w:r w:rsidR="00A65FB7">
        <w:rPr>
          <w:sz w:val="22"/>
          <w:szCs w:val="22"/>
        </w:rPr>
        <w:t>p</w:t>
      </w:r>
      <w:r w:rsidR="004308C1">
        <w:rPr>
          <w:sz w:val="22"/>
          <w:szCs w:val="22"/>
        </w:rPr>
        <w:t xml:space="preserve">rofiles and other demographic information about the Wyndham community is available on Council’s </w:t>
      </w:r>
      <w:r w:rsidR="00A65FB7">
        <w:rPr>
          <w:sz w:val="22"/>
          <w:szCs w:val="22"/>
        </w:rPr>
        <w:t>w</w:t>
      </w:r>
      <w:r w:rsidR="004308C1">
        <w:rPr>
          <w:sz w:val="22"/>
          <w:szCs w:val="22"/>
        </w:rPr>
        <w:t xml:space="preserve">ebsite at: </w:t>
      </w:r>
      <w:hyperlink r:id="rId10" w:history="1">
        <w:r w:rsidR="004308C1" w:rsidRPr="00500762">
          <w:rPr>
            <w:rStyle w:val="Hyperlink"/>
            <w:sz w:val="22"/>
            <w:szCs w:val="22"/>
          </w:rPr>
          <w:t>https://www.wyndham.vic.gov.au/about-council/wyndham-community/community-profiles</w:t>
        </w:r>
      </w:hyperlink>
    </w:p>
    <w:p w:rsidR="00430610" w:rsidRDefault="00430610" w:rsidP="0052780F">
      <w:pPr>
        <w:pStyle w:val="Default"/>
        <w:spacing w:line="276" w:lineRule="auto"/>
        <w:rPr>
          <w:sz w:val="22"/>
          <w:szCs w:val="22"/>
        </w:rPr>
      </w:pPr>
    </w:p>
    <w:p w:rsidR="00811575" w:rsidRPr="00BA24E2" w:rsidRDefault="00C30D74" w:rsidP="00BA24E2">
      <w:pPr>
        <w:pStyle w:val="Heading1"/>
      </w:pPr>
      <w:r w:rsidRPr="00BA24E2">
        <w:t xml:space="preserve">Demographic </w:t>
      </w:r>
      <w:r w:rsidR="00255E17" w:rsidRPr="00BA24E2">
        <w:t>S</w:t>
      </w:r>
      <w:r w:rsidRPr="00BA24E2">
        <w:t xml:space="preserve">napshot </w:t>
      </w:r>
    </w:p>
    <w:p w:rsidR="004308C1" w:rsidRPr="0098698C" w:rsidRDefault="004308C1" w:rsidP="0052780F">
      <w:pPr>
        <w:pStyle w:val="Default"/>
        <w:spacing w:line="276" w:lineRule="auto"/>
        <w:rPr>
          <w:sz w:val="22"/>
          <w:szCs w:val="22"/>
        </w:rPr>
      </w:pPr>
      <w:r w:rsidRPr="0098698C">
        <w:rPr>
          <w:sz w:val="22"/>
          <w:szCs w:val="22"/>
        </w:rPr>
        <w:t xml:space="preserve">The City of Wyndham is located on the western edge of Greater Melbourne, between the metropolitan area and Geelong. Wyndham covers an area of 542km² with a population density of 3.87 persons per hectare. Wyndham is adjacent to the municipalities of Greater Geelong, </w:t>
      </w:r>
      <w:proofErr w:type="spellStart"/>
      <w:r w:rsidRPr="0098698C">
        <w:rPr>
          <w:sz w:val="22"/>
          <w:szCs w:val="22"/>
        </w:rPr>
        <w:t>Moorabool</w:t>
      </w:r>
      <w:proofErr w:type="spellEnd"/>
      <w:r w:rsidRPr="0098698C">
        <w:rPr>
          <w:sz w:val="22"/>
          <w:szCs w:val="22"/>
        </w:rPr>
        <w:t xml:space="preserve">, Melton, </w:t>
      </w:r>
      <w:proofErr w:type="spellStart"/>
      <w:r w:rsidRPr="0098698C">
        <w:rPr>
          <w:sz w:val="22"/>
          <w:szCs w:val="22"/>
        </w:rPr>
        <w:t>Brimbank</w:t>
      </w:r>
      <w:proofErr w:type="spellEnd"/>
      <w:r w:rsidRPr="0098698C">
        <w:rPr>
          <w:sz w:val="22"/>
          <w:szCs w:val="22"/>
        </w:rPr>
        <w:t xml:space="preserve"> and Hobson’s Bay. </w:t>
      </w:r>
    </w:p>
    <w:p w:rsidR="004308C1" w:rsidRPr="000167FE" w:rsidRDefault="004308C1" w:rsidP="0052780F">
      <w:pPr>
        <w:pStyle w:val="Default"/>
        <w:spacing w:line="276" w:lineRule="auto"/>
        <w:rPr>
          <w:sz w:val="22"/>
          <w:szCs w:val="22"/>
        </w:rPr>
      </w:pPr>
    </w:p>
    <w:p w:rsidR="004308C1" w:rsidRPr="000167FE" w:rsidRDefault="004308C1" w:rsidP="0052780F">
      <w:pPr>
        <w:pStyle w:val="Default"/>
        <w:spacing w:line="276" w:lineRule="auto"/>
        <w:rPr>
          <w:sz w:val="22"/>
          <w:szCs w:val="22"/>
        </w:rPr>
      </w:pPr>
      <w:r w:rsidRPr="000167FE">
        <w:rPr>
          <w:sz w:val="22"/>
          <w:szCs w:val="22"/>
        </w:rPr>
        <w:t xml:space="preserve">Wyndham’s population </w:t>
      </w:r>
      <w:r w:rsidR="006B1985">
        <w:rPr>
          <w:sz w:val="22"/>
          <w:szCs w:val="22"/>
        </w:rPr>
        <w:t>is increasing</w:t>
      </w:r>
      <w:r w:rsidRPr="000167FE">
        <w:rPr>
          <w:sz w:val="22"/>
          <w:szCs w:val="22"/>
        </w:rPr>
        <w:t xml:space="preserve"> by </w:t>
      </w:r>
      <w:r w:rsidR="00882A9F">
        <w:rPr>
          <w:sz w:val="22"/>
          <w:szCs w:val="22"/>
        </w:rPr>
        <w:t>over</w:t>
      </w:r>
      <w:r w:rsidRPr="000167FE">
        <w:rPr>
          <w:sz w:val="22"/>
          <w:szCs w:val="22"/>
        </w:rPr>
        <w:t xml:space="preserve"> 2</w:t>
      </w:r>
      <w:r w:rsidR="00882A9F">
        <w:rPr>
          <w:sz w:val="22"/>
          <w:szCs w:val="22"/>
        </w:rPr>
        <w:t>30</w:t>
      </w:r>
      <w:r w:rsidRPr="000167FE">
        <w:rPr>
          <w:sz w:val="22"/>
          <w:szCs w:val="22"/>
        </w:rPr>
        <w:t xml:space="preserve"> residents per week, </w:t>
      </w:r>
      <w:r w:rsidR="006B1985">
        <w:rPr>
          <w:sz w:val="22"/>
          <w:szCs w:val="22"/>
        </w:rPr>
        <w:t>and approximately</w:t>
      </w:r>
      <w:r w:rsidRPr="000167FE">
        <w:rPr>
          <w:sz w:val="22"/>
          <w:szCs w:val="22"/>
        </w:rPr>
        <w:t xml:space="preserve"> 12 babies </w:t>
      </w:r>
      <w:r w:rsidR="006B1985">
        <w:rPr>
          <w:sz w:val="22"/>
          <w:szCs w:val="22"/>
        </w:rPr>
        <w:t xml:space="preserve">are being </w:t>
      </w:r>
      <w:r w:rsidRPr="000167FE">
        <w:rPr>
          <w:sz w:val="22"/>
          <w:szCs w:val="22"/>
        </w:rPr>
        <w:t>born into the community every day. During 201</w:t>
      </w:r>
      <w:r w:rsidR="00A65FB7">
        <w:rPr>
          <w:sz w:val="22"/>
          <w:szCs w:val="22"/>
        </w:rPr>
        <w:t>5</w:t>
      </w:r>
      <w:r w:rsidRPr="000167FE">
        <w:rPr>
          <w:sz w:val="22"/>
          <w:szCs w:val="22"/>
        </w:rPr>
        <w:t>/1</w:t>
      </w:r>
      <w:r w:rsidR="00A65FB7">
        <w:rPr>
          <w:sz w:val="22"/>
          <w:szCs w:val="22"/>
        </w:rPr>
        <w:t>6</w:t>
      </w:r>
      <w:r w:rsidRPr="000167FE">
        <w:rPr>
          <w:sz w:val="22"/>
          <w:szCs w:val="22"/>
        </w:rPr>
        <w:t xml:space="preserve"> Wyndham’s net population increased by </w:t>
      </w:r>
      <w:r w:rsidR="00882A9F">
        <w:rPr>
          <w:sz w:val="22"/>
          <w:szCs w:val="22"/>
        </w:rPr>
        <w:t>12,106</w:t>
      </w:r>
      <w:r w:rsidRPr="000167FE">
        <w:rPr>
          <w:sz w:val="22"/>
          <w:szCs w:val="22"/>
        </w:rPr>
        <w:t xml:space="preserve"> people, making it the</w:t>
      </w:r>
      <w:r w:rsidR="00811575">
        <w:rPr>
          <w:sz w:val="22"/>
          <w:szCs w:val="22"/>
        </w:rPr>
        <w:t xml:space="preserve"> fastest</w:t>
      </w:r>
      <w:r w:rsidRPr="000167FE">
        <w:rPr>
          <w:sz w:val="22"/>
          <w:szCs w:val="22"/>
        </w:rPr>
        <w:t xml:space="preserve"> growing Council within Victoria. </w:t>
      </w:r>
      <w:r w:rsidR="00F25776">
        <w:rPr>
          <w:sz w:val="22"/>
          <w:szCs w:val="22"/>
        </w:rPr>
        <w:t xml:space="preserve">The Australia Bureau of Statistics 2016 Estimated Resident Population (ERP) of </w:t>
      </w:r>
      <w:r w:rsidR="006B1985">
        <w:rPr>
          <w:sz w:val="22"/>
          <w:szCs w:val="22"/>
        </w:rPr>
        <w:t>Wyndham</w:t>
      </w:r>
      <w:r w:rsidR="00F25776">
        <w:rPr>
          <w:sz w:val="22"/>
          <w:szCs w:val="22"/>
        </w:rPr>
        <w:t xml:space="preserve"> is 222,656, which is forecast to in</w:t>
      </w:r>
      <w:r w:rsidRPr="000167FE">
        <w:rPr>
          <w:sz w:val="22"/>
          <w:szCs w:val="22"/>
        </w:rPr>
        <w:t xml:space="preserve">crease by almost 100% to 424,476 by 2036. </w:t>
      </w:r>
    </w:p>
    <w:p w:rsidR="004308C1" w:rsidRPr="000167FE" w:rsidRDefault="004308C1" w:rsidP="0052780F">
      <w:pPr>
        <w:pStyle w:val="Default"/>
        <w:spacing w:line="276" w:lineRule="auto"/>
        <w:rPr>
          <w:sz w:val="22"/>
          <w:szCs w:val="22"/>
        </w:rPr>
      </w:pPr>
    </w:p>
    <w:p w:rsidR="001D3686" w:rsidRPr="000167FE" w:rsidRDefault="001D3686" w:rsidP="001D3686">
      <w:pPr>
        <w:pStyle w:val="Default"/>
        <w:spacing w:line="276" w:lineRule="auto"/>
        <w:rPr>
          <w:sz w:val="22"/>
          <w:szCs w:val="22"/>
        </w:rPr>
      </w:pPr>
      <w:r>
        <w:rPr>
          <w:sz w:val="22"/>
          <w:szCs w:val="22"/>
        </w:rPr>
        <w:t>At the 2011 Census,</w:t>
      </w:r>
      <w:r w:rsidRPr="000167FE">
        <w:rPr>
          <w:sz w:val="22"/>
          <w:szCs w:val="22"/>
        </w:rPr>
        <w:t xml:space="preserve"> 27% of the population </w:t>
      </w:r>
      <w:r>
        <w:rPr>
          <w:sz w:val="22"/>
          <w:szCs w:val="22"/>
        </w:rPr>
        <w:t xml:space="preserve">of Wyndham were </w:t>
      </w:r>
      <w:r w:rsidRPr="000167FE">
        <w:rPr>
          <w:sz w:val="22"/>
          <w:szCs w:val="22"/>
        </w:rPr>
        <w:t>under 17</w:t>
      </w:r>
      <w:r>
        <w:rPr>
          <w:sz w:val="22"/>
          <w:szCs w:val="22"/>
        </w:rPr>
        <w:t xml:space="preserve"> years of age</w:t>
      </w:r>
      <w:r w:rsidRPr="000167FE">
        <w:rPr>
          <w:sz w:val="22"/>
          <w:szCs w:val="22"/>
        </w:rPr>
        <w:t xml:space="preserve">, and families </w:t>
      </w:r>
      <w:r>
        <w:rPr>
          <w:sz w:val="22"/>
          <w:szCs w:val="22"/>
        </w:rPr>
        <w:t>made</w:t>
      </w:r>
      <w:r w:rsidRPr="000167FE">
        <w:rPr>
          <w:sz w:val="22"/>
          <w:szCs w:val="22"/>
        </w:rPr>
        <w:t xml:space="preserve"> up 57% of </w:t>
      </w:r>
      <w:r>
        <w:rPr>
          <w:sz w:val="22"/>
          <w:szCs w:val="22"/>
        </w:rPr>
        <w:t xml:space="preserve">all </w:t>
      </w:r>
      <w:r w:rsidRPr="000167FE">
        <w:rPr>
          <w:sz w:val="22"/>
          <w:szCs w:val="22"/>
        </w:rPr>
        <w:t>households</w:t>
      </w:r>
      <w:r>
        <w:rPr>
          <w:sz w:val="22"/>
          <w:szCs w:val="22"/>
        </w:rPr>
        <w:t xml:space="preserve">. Despite this, the age group growing at the fastest rate are </w:t>
      </w:r>
      <w:r w:rsidR="00F90223">
        <w:rPr>
          <w:sz w:val="22"/>
          <w:szCs w:val="22"/>
        </w:rPr>
        <w:t>residents aged 65 years and over.</w:t>
      </w:r>
      <w:r>
        <w:rPr>
          <w:sz w:val="22"/>
          <w:szCs w:val="22"/>
        </w:rPr>
        <w:t xml:space="preserve"> Between 2016 and 203</w:t>
      </w:r>
      <w:r w:rsidR="00F90223">
        <w:rPr>
          <w:sz w:val="22"/>
          <w:szCs w:val="22"/>
        </w:rPr>
        <w:t>6</w:t>
      </w:r>
      <w:r>
        <w:rPr>
          <w:sz w:val="22"/>
          <w:szCs w:val="22"/>
        </w:rPr>
        <w:t xml:space="preserve">, the population of retirees in Wyndham is forecast to increase by 143%. </w:t>
      </w:r>
    </w:p>
    <w:p w:rsidR="001D3686" w:rsidRPr="000167FE" w:rsidRDefault="001D3686" w:rsidP="001D3686">
      <w:pPr>
        <w:pStyle w:val="Default"/>
        <w:spacing w:line="276" w:lineRule="auto"/>
        <w:rPr>
          <w:sz w:val="22"/>
          <w:szCs w:val="22"/>
        </w:rPr>
      </w:pPr>
    </w:p>
    <w:p w:rsidR="001D3686" w:rsidRDefault="001D3686" w:rsidP="001D3686">
      <w:pPr>
        <w:pStyle w:val="Default"/>
        <w:spacing w:line="276" w:lineRule="auto"/>
        <w:rPr>
          <w:sz w:val="22"/>
          <w:szCs w:val="22"/>
        </w:rPr>
      </w:pPr>
      <w:r>
        <w:rPr>
          <w:sz w:val="22"/>
          <w:szCs w:val="22"/>
        </w:rPr>
        <w:t xml:space="preserve">The population of Wyndham is highly diverse. At the 2011 Census, 34% of residents were born overseas. According to the Wyndham Household Survey, in 2015, this figure had risen to 40%. The most common overseas countries of birth in Wyndham in 2015 were India, New Zealand, England, the Philippines, and China. </w:t>
      </w:r>
    </w:p>
    <w:p w:rsidR="00811575" w:rsidRDefault="00811575" w:rsidP="0052780F">
      <w:pPr>
        <w:pStyle w:val="Default"/>
        <w:spacing w:line="276" w:lineRule="auto"/>
        <w:rPr>
          <w:sz w:val="22"/>
          <w:szCs w:val="22"/>
        </w:rPr>
      </w:pPr>
    </w:p>
    <w:p w:rsidR="00E2228B" w:rsidRPr="00BA24E2" w:rsidRDefault="00E2228B" w:rsidP="00BA24E2">
      <w:pPr>
        <w:pStyle w:val="Heading1"/>
      </w:pPr>
      <w:r w:rsidRPr="00BA24E2">
        <w:t xml:space="preserve">Environmental </w:t>
      </w:r>
      <w:r w:rsidR="00255E17" w:rsidRPr="00BA24E2">
        <w:t>D</w:t>
      </w:r>
      <w:r w:rsidRPr="00BA24E2">
        <w:t xml:space="preserve">eterminants of </w:t>
      </w:r>
      <w:r w:rsidR="00255E17" w:rsidRPr="00BA24E2">
        <w:t>H</w:t>
      </w:r>
      <w:r w:rsidRPr="00BA24E2">
        <w:t xml:space="preserve">ealth </w:t>
      </w:r>
    </w:p>
    <w:p w:rsidR="00183CE9" w:rsidRPr="00183CE9" w:rsidRDefault="00183CE9" w:rsidP="00183CE9">
      <w:pPr>
        <w:pStyle w:val="Default"/>
        <w:rPr>
          <w:rFonts w:asciiTheme="minorHAnsi" w:hAnsiTheme="minorHAnsi" w:cs="DaxOT"/>
          <w:sz w:val="22"/>
          <w:szCs w:val="22"/>
        </w:rPr>
      </w:pPr>
      <w:r w:rsidRPr="00183CE9">
        <w:rPr>
          <w:rFonts w:asciiTheme="minorHAnsi" w:hAnsiTheme="minorHAnsi"/>
          <w:sz w:val="22"/>
          <w:szCs w:val="22"/>
        </w:rPr>
        <w:t xml:space="preserve">Environment and amenity play a vital role in </w:t>
      </w:r>
      <w:r w:rsidRPr="00183CE9">
        <w:rPr>
          <w:rFonts w:asciiTheme="minorHAnsi" w:hAnsiTheme="minorHAnsi" w:cs="DaxOT"/>
          <w:sz w:val="22"/>
          <w:szCs w:val="22"/>
        </w:rPr>
        <w:t xml:space="preserve">the wellbeing of a community. </w:t>
      </w:r>
      <w:r w:rsidRPr="00183CE9">
        <w:rPr>
          <w:rFonts w:asciiTheme="minorHAnsi" w:hAnsiTheme="minorHAnsi" w:cs="DaxOT-Light"/>
          <w:sz w:val="22"/>
          <w:szCs w:val="22"/>
        </w:rPr>
        <w:t>F</w:t>
      </w:r>
      <w:r w:rsidRPr="00183CE9">
        <w:rPr>
          <w:rFonts w:asciiTheme="minorHAnsi" w:hAnsiTheme="minorHAnsi" w:cs="DaxOT"/>
          <w:sz w:val="22"/>
          <w:szCs w:val="22"/>
        </w:rPr>
        <w:t>actors such as where we live and the state of our environment</w:t>
      </w:r>
      <w:r w:rsidRPr="00183CE9">
        <w:rPr>
          <w:rFonts w:asciiTheme="minorHAnsi" w:hAnsiTheme="minorHAnsi" w:cs="DaxOT-Light"/>
          <w:sz w:val="22"/>
          <w:szCs w:val="22"/>
        </w:rPr>
        <w:t xml:space="preserve">, </w:t>
      </w:r>
      <w:r w:rsidRPr="00183CE9">
        <w:rPr>
          <w:rFonts w:asciiTheme="minorHAnsi" w:hAnsiTheme="minorHAnsi" w:cs="DaxOT"/>
          <w:sz w:val="22"/>
          <w:szCs w:val="22"/>
        </w:rPr>
        <w:t xml:space="preserve">impact considerably on </w:t>
      </w:r>
      <w:r w:rsidRPr="00183CE9">
        <w:rPr>
          <w:rFonts w:asciiTheme="minorHAnsi" w:hAnsiTheme="minorHAnsi" w:cs="DaxOT-Light"/>
          <w:sz w:val="22"/>
          <w:szCs w:val="22"/>
        </w:rPr>
        <w:t>physical and mental health, wellbeing, opportunity and safety</w:t>
      </w:r>
      <w:r w:rsidRPr="00183CE9">
        <w:rPr>
          <w:rFonts w:asciiTheme="minorHAnsi" w:hAnsiTheme="minorHAnsi" w:cs="DaxOT"/>
          <w:sz w:val="22"/>
          <w:szCs w:val="22"/>
        </w:rPr>
        <w:t xml:space="preserve">. </w:t>
      </w:r>
      <w:r w:rsidRPr="00183CE9">
        <w:rPr>
          <w:rFonts w:asciiTheme="minorHAnsi" w:hAnsiTheme="minorHAnsi" w:cs="DaxOT-Light"/>
          <w:sz w:val="22"/>
          <w:szCs w:val="22"/>
        </w:rPr>
        <w:t xml:space="preserve">Communities need access to open space, natural environments and recreational spaces, as well as infrastructure for transport, employment, education and social connection. </w:t>
      </w:r>
    </w:p>
    <w:p w:rsidR="00E2228B" w:rsidRPr="00183CE9" w:rsidRDefault="00183CE9" w:rsidP="00183CE9">
      <w:pPr>
        <w:autoSpaceDE w:val="0"/>
        <w:autoSpaceDN w:val="0"/>
        <w:adjustRightInd w:val="0"/>
        <w:spacing w:after="0"/>
      </w:pPr>
      <w:r w:rsidRPr="00183CE9">
        <w:t xml:space="preserve">Growth </w:t>
      </w:r>
      <w:r w:rsidRPr="00183CE9">
        <w:rPr>
          <w:rFonts w:cs="DaxOT-Light"/>
        </w:rPr>
        <w:t>a</w:t>
      </w:r>
      <w:r w:rsidRPr="00183CE9">
        <w:rPr>
          <w:rFonts w:cs="DaxOT"/>
        </w:rPr>
        <w:t xml:space="preserve">reas at the urban interface of Greater Melbourne face challenges in the provision of such local infrastructure and services to meet population growth, </w:t>
      </w:r>
      <w:r w:rsidRPr="00183CE9">
        <w:rPr>
          <w:rFonts w:cs="DaxOT-Light"/>
        </w:rPr>
        <w:t>leading to transport and housing stress, and poorer service access</w:t>
      </w:r>
      <w:r w:rsidRPr="00183CE9">
        <w:rPr>
          <w:rFonts w:cs="DaxOT"/>
        </w:rPr>
        <w:t>.</w:t>
      </w:r>
    </w:p>
    <w:p w:rsidR="00E2228B" w:rsidRPr="00B84336" w:rsidRDefault="00882A9F" w:rsidP="00E2228B">
      <w:pPr>
        <w:pStyle w:val="Default"/>
        <w:numPr>
          <w:ilvl w:val="0"/>
          <w:numId w:val="5"/>
        </w:numPr>
        <w:spacing w:line="276" w:lineRule="auto"/>
        <w:rPr>
          <w:rFonts w:asciiTheme="minorHAnsi" w:hAnsiTheme="minorHAnsi" w:cs="DaxOT"/>
          <w:color w:val="auto"/>
          <w:sz w:val="22"/>
          <w:szCs w:val="22"/>
        </w:rPr>
      </w:pPr>
      <w:r w:rsidRPr="00B84336">
        <w:rPr>
          <w:rFonts w:asciiTheme="minorHAnsi" w:hAnsiTheme="minorHAnsi" w:cstheme="minorBidi"/>
          <w:color w:val="auto"/>
          <w:sz w:val="22"/>
          <w:szCs w:val="22"/>
        </w:rPr>
        <w:lastRenderedPageBreak/>
        <w:t xml:space="preserve">There are fewer hectares of public open space per 1,000 population in Wyndham compared to other Melbourne growth areas, including Hume, Whittlesea and Casey. </w:t>
      </w:r>
    </w:p>
    <w:p w:rsidR="00B84336" w:rsidRPr="00B84336" w:rsidRDefault="00B84336" w:rsidP="00B84336">
      <w:pPr>
        <w:pStyle w:val="Default"/>
        <w:numPr>
          <w:ilvl w:val="0"/>
          <w:numId w:val="5"/>
        </w:numPr>
        <w:spacing w:line="276" w:lineRule="auto"/>
        <w:rPr>
          <w:rFonts w:asciiTheme="minorHAnsi" w:hAnsiTheme="minorHAnsi" w:cs="DaxOT"/>
          <w:color w:val="auto"/>
          <w:sz w:val="22"/>
          <w:szCs w:val="22"/>
        </w:rPr>
      </w:pPr>
      <w:r w:rsidRPr="00B84336">
        <w:rPr>
          <w:rFonts w:asciiTheme="minorHAnsi" w:hAnsiTheme="minorHAnsi" w:cstheme="minorBidi"/>
          <w:color w:val="auto"/>
          <w:sz w:val="22"/>
          <w:szCs w:val="22"/>
        </w:rPr>
        <w:t xml:space="preserve">Almost </w:t>
      </w:r>
      <w:r w:rsidRPr="00B84336">
        <w:rPr>
          <w:rFonts w:asciiTheme="minorHAnsi" w:hAnsiTheme="minorHAnsi" w:cs="DaxOT"/>
          <w:color w:val="auto"/>
          <w:sz w:val="22"/>
          <w:szCs w:val="22"/>
        </w:rPr>
        <w:t xml:space="preserve">one-in-four adults across Wyndham find themselves </w:t>
      </w:r>
      <w:r w:rsidRPr="00B84336">
        <w:rPr>
          <w:rFonts w:asciiTheme="minorHAnsi" w:hAnsiTheme="minorHAnsi" w:cs="DaxOT-Medium"/>
          <w:color w:val="auto"/>
          <w:sz w:val="22"/>
          <w:szCs w:val="22"/>
        </w:rPr>
        <w:t xml:space="preserve">affected by restrictions </w:t>
      </w:r>
      <w:r w:rsidRPr="00B84336">
        <w:rPr>
          <w:rFonts w:asciiTheme="minorHAnsi" w:hAnsiTheme="minorHAnsi" w:cs="DaxOT"/>
          <w:color w:val="auto"/>
          <w:sz w:val="22"/>
          <w:szCs w:val="22"/>
        </w:rPr>
        <w:t xml:space="preserve">in their daily private and public transport use. A similar percentage is also seen in the North </w:t>
      </w:r>
      <w:r w:rsidR="008B4E78">
        <w:rPr>
          <w:rFonts w:asciiTheme="minorHAnsi" w:hAnsiTheme="minorHAnsi" w:cs="DaxOT"/>
          <w:color w:val="auto"/>
          <w:sz w:val="22"/>
          <w:szCs w:val="22"/>
        </w:rPr>
        <w:t xml:space="preserve">and </w:t>
      </w:r>
      <w:r w:rsidRPr="00B84336">
        <w:rPr>
          <w:rFonts w:asciiTheme="minorHAnsi" w:hAnsiTheme="minorHAnsi" w:cs="DaxOT"/>
          <w:color w:val="auto"/>
          <w:sz w:val="22"/>
          <w:szCs w:val="22"/>
        </w:rPr>
        <w:t xml:space="preserve">West Metro </w:t>
      </w:r>
      <w:r w:rsidR="008B4E78">
        <w:rPr>
          <w:rFonts w:asciiTheme="minorHAnsi" w:hAnsiTheme="minorHAnsi" w:cs="DaxOT"/>
          <w:color w:val="auto"/>
          <w:sz w:val="22"/>
          <w:szCs w:val="22"/>
        </w:rPr>
        <w:t>area</w:t>
      </w:r>
      <w:r w:rsidRPr="00B84336">
        <w:rPr>
          <w:rFonts w:asciiTheme="minorHAnsi" w:hAnsiTheme="minorHAnsi" w:cs="DaxOT"/>
          <w:color w:val="auto"/>
          <w:sz w:val="22"/>
          <w:szCs w:val="22"/>
        </w:rPr>
        <w:t xml:space="preserve">. </w:t>
      </w:r>
    </w:p>
    <w:p w:rsidR="00E2228B" w:rsidRPr="00B84336" w:rsidRDefault="00E2228B" w:rsidP="00B84336">
      <w:pPr>
        <w:pStyle w:val="Default"/>
        <w:numPr>
          <w:ilvl w:val="0"/>
          <w:numId w:val="5"/>
        </w:numPr>
        <w:spacing w:line="276" w:lineRule="auto"/>
        <w:rPr>
          <w:rFonts w:asciiTheme="minorHAnsi" w:hAnsiTheme="minorHAnsi" w:cs="DaxOT"/>
          <w:color w:val="auto"/>
          <w:sz w:val="22"/>
          <w:szCs w:val="22"/>
        </w:rPr>
      </w:pPr>
      <w:r w:rsidRPr="00B84336">
        <w:rPr>
          <w:rFonts w:asciiTheme="minorHAnsi" w:hAnsiTheme="minorHAnsi" w:cstheme="minorBidi"/>
          <w:color w:val="auto"/>
          <w:sz w:val="22"/>
          <w:szCs w:val="22"/>
        </w:rPr>
        <w:t xml:space="preserve">Of all the households in Wyndham, </w:t>
      </w:r>
      <w:r w:rsidRPr="00B84336">
        <w:rPr>
          <w:rFonts w:asciiTheme="minorHAnsi" w:hAnsiTheme="minorHAnsi" w:cs="DaxOT"/>
          <w:color w:val="auto"/>
          <w:sz w:val="22"/>
          <w:szCs w:val="22"/>
        </w:rPr>
        <w:t xml:space="preserve">41% have access to two motor vehicles, which exceeds the Greater Melbourne percentage </w:t>
      </w:r>
      <w:r w:rsidR="00533CB4">
        <w:rPr>
          <w:rFonts w:asciiTheme="minorHAnsi" w:hAnsiTheme="minorHAnsi" w:cs="DaxOT"/>
          <w:color w:val="auto"/>
          <w:sz w:val="22"/>
          <w:szCs w:val="22"/>
        </w:rPr>
        <w:t>of</w:t>
      </w:r>
      <w:r w:rsidRPr="00B84336">
        <w:rPr>
          <w:rFonts w:asciiTheme="minorHAnsi" w:hAnsiTheme="minorHAnsi" w:cs="DaxOT"/>
          <w:color w:val="auto"/>
          <w:sz w:val="22"/>
          <w:szCs w:val="22"/>
        </w:rPr>
        <w:t xml:space="preserve"> 36%.</w:t>
      </w:r>
    </w:p>
    <w:p w:rsidR="00B84336" w:rsidRPr="00B84336" w:rsidRDefault="00B84336" w:rsidP="00B84336">
      <w:pPr>
        <w:pStyle w:val="Default"/>
        <w:numPr>
          <w:ilvl w:val="0"/>
          <w:numId w:val="5"/>
        </w:numPr>
        <w:spacing w:line="276" w:lineRule="auto"/>
        <w:rPr>
          <w:rFonts w:asciiTheme="minorHAnsi" w:hAnsiTheme="minorHAnsi" w:cs="DaxOT"/>
          <w:color w:val="auto"/>
          <w:sz w:val="22"/>
          <w:szCs w:val="22"/>
        </w:rPr>
      </w:pPr>
      <w:r w:rsidRPr="00B84336">
        <w:rPr>
          <w:rFonts w:asciiTheme="minorHAnsi" w:hAnsiTheme="minorHAnsi" w:cstheme="minorBidi"/>
          <w:color w:val="auto"/>
          <w:sz w:val="22"/>
          <w:szCs w:val="22"/>
        </w:rPr>
        <w:t>P</w:t>
      </w:r>
      <w:r w:rsidRPr="00B84336">
        <w:rPr>
          <w:rFonts w:asciiTheme="minorHAnsi" w:hAnsiTheme="minorHAnsi" w:cs="DaxOT"/>
          <w:color w:val="auto"/>
          <w:sz w:val="22"/>
          <w:szCs w:val="22"/>
        </w:rPr>
        <w:t xml:space="preserve">ublic transport accessibility in Wyndham is considerably more limited than the North </w:t>
      </w:r>
      <w:r w:rsidRPr="00B84336">
        <w:rPr>
          <w:rFonts w:asciiTheme="minorHAnsi" w:hAnsiTheme="minorHAnsi" w:cs="DaxOT-Light"/>
          <w:color w:val="auto"/>
          <w:sz w:val="22"/>
          <w:szCs w:val="22"/>
        </w:rPr>
        <w:t xml:space="preserve">and </w:t>
      </w:r>
      <w:r w:rsidRPr="00B84336">
        <w:rPr>
          <w:rFonts w:asciiTheme="minorHAnsi" w:hAnsiTheme="minorHAnsi" w:cs="DaxOT"/>
          <w:color w:val="auto"/>
          <w:sz w:val="22"/>
          <w:szCs w:val="22"/>
        </w:rPr>
        <w:t xml:space="preserve">West Metro </w:t>
      </w:r>
      <w:r w:rsidRPr="00B84336">
        <w:rPr>
          <w:rFonts w:asciiTheme="minorHAnsi" w:hAnsiTheme="minorHAnsi" w:cs="DaxOT-Light"/>
          <w:color w:val="auto"/>
          <w:sz w:val="22"/>
          <w:szCs w:val="22"/>
        </w:rPr>
        <w:t>area</w:t>
      </w:r>
      <w:r w:rsidRPr="00B84336">
        <w:rPr>
          <w:rFonts w:asciiTheme="minorHAnsi" w:hAnsiTheme="minorHAnsi" w:cs="DaxOT"/>
          <w:color w:val="auto"/>
          <w:sz w:val="22"/>
          <w:szCs w:val="22"/>
        </w:rPr>
        <w:t>, and other L</w:t>
      </w:r>
      <w:r w:rsidRPr="00B84336">
        <w:rPr>
          <w:rFonts w:asciiTheme="minorHAnsi" w:hAnsiTheme="minorHAnsi" w:cs="DaxOT-Light"/>
          <w:color w:val="auto"/>
          <w:sz w:val="22"/>
          <w:szCs w:val="22"/>
        </w:rPr>
        <w:t xml:space="preserve">ocal </w:t>
      </w:r>
      <w:r w:rsidRPr="00B84336">
        <w:rPr>
          <w:rFonts w:asciiTheme="minorHAnsi" w:hAnsiTheme="minorHAnsi" w:cs="DaxOT"/>
          <w:color w:val="auto"/>
          <w:sz w:val="22"/>
          <w:szCs w:val="22"/>
        </w:rPr>
        <w:t>G</w:t>
      </w:r>
      <w:r w:rsidRPr="00B84336">
        <w:rPr>
          <w:rFonts w:asciiTheme="minorHAnsi" w:hAnsiTheme="minorHAnsi" w:cs="DaxOT-Light"/>
          <w:color w:val="auto"/>
          <w:sz w:val="22"/>
          <w:szCs w:val="22"/>
        </w:rPr>
        <w:t xml:space="preserve">overnment </w:t>
      </w:r>
      <w:r w:rsidRPr="00B84336">
        <w:rPr>
          <w:rFonts w:asciiTheme="minorHAnsi" w:hAnsiTheme="minorHAnsi" w:cs="DaxOT"/>
          <w:color w:val="auto"/>
          <w:sz w:val="22"/>
          <w:szCs w:val="22"/>
        </w:rPr>
        <w:t>A</w:t>
      </w:r>
      <w:r w:rsidRPr="00B84336">
        <w:rPr>
          <w:rFonts w:asciiTheme="minorHAnsi" w:hAnsiTheme="minorHAnsi" w:cs="DaxOT-Light"/>
          <w:color w:val="auto"/>
          <w:sz w:val="22"/>
          <w:szCs w:val="22"/>
        </w:rPr>
        <w:t>rea</w:t>
      </w:r>
      <w:r w:rsidRPr="00B84336">
        <w:rPr>
          <w:rFonts w:asciiTheme="minorHAnsi" w:hAnsiTheme="minorHAnsi" w:cs="DaxOT"/>
          <w:color w:val="auto"/>
          <w:sz w:val="22"/>
          <w:szCs w:val="22"/>
        </w:rPr>
        <w:t xml:space="preserve">s. </w:t>
      </w:r>
    </w:p>
    <w:p w:rsidR="00B84336" w:rsidRPr="00B84336" w:rsidRDefault="00B84336" w:rsidP="00B84336">
      <w:pPr>
        <w:pStyle w:val="Default"/>
        <w:numPr>
          <w:ilvl w:val="0"/>
          <w:numId w:val="5"/>
        </w:numPr>
        <w:spacing w:line="276" w:lineRule="auto"/>
        <w:rPr>
          <w:rFonts w:asciiTheme="minorHAnsi" w:hAnsiTheme="minorHAnsi" w:cs="DaxOT"/>
          <w:color w:val="auto"/>
          <w:sz w:val="22"/>
          <w:szCs w:val="22"/>
        </w:rPr>
      </w:pPr>
      <w:r w:rsidRPr="00B84336">
        <w:rPr>
          <w:rFonts w:asciiTheme="minorHAnsi" w:hAnsiTheme="minorHAnsi" w:cstheme="minorBidi"/>
          <w:color w:val="auto"/>
          <w:sz w:val="22"/>
          <w:szCs w:val="22"/>
        </w:rPr>
        <w:t xml:space="preserve">The levels of housing stress – both mortgage and rental – for low income households are slightly higher in </w:t>
      </w:r>
      <w:r w:rsidRPr="00B84336">
        <w:rPr>
          <w:rFonts w:asciiTheme="minorHAnsi" w:hAnsiTheme="minorHAnsi" w:cs="DaxOT"/>
          <w:color w:val="auto"/>
          <w:sz w:val="22"/>
          <w:szCs w:val="22"/>
        </w:rPr>
        <w:t>Wyndham (27%)</w:t>
      </w:r>
      <w:r w:rsidR="00533CB4">
        <w:rPr>
          <w:rFonts w:asciiTheme="minorHAnsi" w:hAnsiTheme="minorHAnsi" w:cs="DaxOT"/>
          <w:color w:val="auto"/>
          <w:sz w:val="22"/>
          <w:szCs w:val="22"/>
        </w:rPr>
        <w:t>,</w:t>
      </w:r>
      <w:r w:rsidRPr="00B84336">
        <w:rPr>
          <w:rFonts w:asciiTheme="minorHAnsi" w:hAnsiTheme="minorHAnsi" w:cs="DaxOT"/>
          <w:color w:val="auto"/>
          <w:sz w:val="22"/>
          <w:szCs w:val="22"/>
        </w:rPr>
        <w:t xml:space="preserve"> than Greater Melbourne (25%) and Victoria (26%).</w:t>
      </w:r>
    </w:p>
    <w:p w:rsidR="00E2228B" w:rsidRPr="00B84336" w:rsidRDefault="00E2228B" w:rsidP="00E2228B">
      <w:pPr>
        <w:pStyle w:val="Default"/>
        <w:numPr>
          <w:ilvl w:val="0"/>
          <w:numId w:val="5"/>
        </w:numPr>
        <w:spacing w:line="276" w:lineRule="auto"/>
        <w:rPr>
          <w:rFonts w:asciiTheme="minorHAnsi" w:hAnsiTheme="minorHAnsi" w:cs="DaxOT"/>
          <w:color w:val="auto"/>
          <w:sz w:val="22"/>
          <w:szCs w:val="22"/>
        </w:rPr>
      </w:pPr>
      <w:r w:rsidRPr="00B84336">
        <w:rPr>
          <w:rFonts w:asciiTheme="minorHAnsi" w:hAnsiTheme="minorHAnsi" w:cstheme="minorBidi"/>
          <w:color w:val="auto"/>
          <w:sz w:val="22"/>
          <w:szCs w:val="22"/>
        </w:rPr>
        <w:t xml:space="preserve">With a much higher percentage of four bedroom homes </w:t>
      </w:r>
      <w:r w:rsidRPr="00B84336">
        <w:rPr>
          <w:rFonts w:asciiTheme="minorHAnsi" w:hAnsiTheme="minorHAnsi" w:cs="DaxOT"/>
          <w:color w:val="auto"/>
          <w:sz w:val="22"/>
          <w:szCs w:val="22"/>
        </w:rPr>
        <w:t xml:space="preserve">(33%) compared to Greater Melbourne (20%), and significantly fewer two bedroom homes (6% compared to 18%), there is significantly less housing diversity within </w:t>
      </w:r>
      <w:r w:rsidR="00533CB4">
        <w:rPr>
          <w:rFonts w:asciiTheme="minorHAnsi" w:hAnsiTheme="minorHAnsi" w:cs="DaxOT"/>
          <w:color w:val="auto"/>
          <w:sz w:val="22"/>
          <w:szCs w:val="22"/>
        </w:rPr>
        <w:t>Wyndham</w:t>
      </w:r>
      <w:r w:rsidRPr="00B84336">
        <w:rPr>
          <w:rFonts w:asciiTheme="minorHAnsi" w:hAnsiTheme="minorHAnsi" w:cs="DaxOT"/>
          <w:color w:val="auto"/>
          <w:sz w:val="22"/>
          <w:szCs w:val="22"/>
        </w:rPr>
        <w:t>.</w:t>
      </w:r>
    </w:p>
    <w:p w:rsidR="00E2228B" w:rsidRPr="00B84336" w:rsidRDefault="00B84336" w:rsidP="00E2228B">
      <w:pPr>
        <w:pStyle w:val="Default"/>
        <w:numPr>
          <w:ilvl w:val="0"/>
          <w:numId w:val="5"/>
        </w:numPr>
        <w:spacing w:line="276" w:lineRule="auto"/>
        <w:rPr>
          <w:rFonts w:asciiTheme="minorHAnsi" w:hAnsiTheme="minorHAnsi" w:cs="DaxOT"/>
          <w:sz w:val="22"/>
          <w:szCs w:val="22"/>
        </w:rPr>
      </w:pPr>
      <w:r w:rsidRPr="00B84336">
        <w:rPr>
          <w:rFonts w:asciiTheme="minorHAnsi" w:hAnsiTheme="minorHAnsi" w:cs="DaxOT"/>
          <w:color w:val="auto"/>
          <w:sz w:val="22"/>
          <w:szCs w:val="22"/>
        </w:rPr>
        <w:t>H</w:t>
      </w:r>
      <w:r w:rsidR="00E2228B" w:rsidRPr="00B84336">
        <w:rPr>
          <w:rFonts w:asciiTheme="minorHAnsi" w:hAnsiTheme="minorHAnsi" w:cs="DaxOT"/>
          <w:color w:val="auto"/>
          <w:sz w:val="22"/>
          <w:szCs w:val="22"/>
        </w:rPr>
        <w:t>ouseholds in Wyndham are more vulnerable to rising costs of living than similar households across Greater Melbourne.</w:t>
      </w:r>
    </w:p>
    <w:p w:rsidR="00E2228B" w:rsidRDefault="00E2228B" w:rsidP="00E2228B">
      <w:pPr>
        <w:spacing w:after="0"/>
        <w:rPr>
          <w:b/>
        </w:rPr>
      </w:pPr>
    </w:p>
    <w:p w:rsidR="00E2228B" w:rsidRPr="00BA24E2" w:rsidRDefault="00E2228B" w:rsidP="00BA24E2">
      <w:pPr>
        <w:pStyle w:val="Heading1"/>
      </w:pPr>
      <w:r w:rsidRPr="00BA24E2">
        <w:t xml:space="preserve">Social and Economic </w:t>
      </w:r>
      <w:r w:rsidR="00255E17" w:rsidRPr="00BA24E2">
        <w:t>D</w:t>
      </w:r>
      <w:r w:rsidRPr="00BA24E2">
        <w:t xml:space="preserve">eterminants of </w:t>
      </w:r>
      <w:r w:rsidR="00255E17" w:rsidRPr="00BA24E2">
        <w:t>H</w:t>
      </w:r>
      <w:r w:rsidRPr="00BA24E2">
        <w:t xml:space="preserve">ealth </w:t>
      </w:r>
    </w:p>
    <w:p w:rsidR="00B95B61" w:rsidRPr="00B95B61" w:rsidRDefault="009D3042" w:rsidP="009D3042">
      <w:pPr>
        <w:pStyle w:val="Default"/>
        <w:rPr>
          <w:rFonts w:asciiTheme="minorHAnsi" w:hAnsiTheme="minorHAnsi" w:cs="DaxOT"/>
          <w:sz w:val="22"/>
          <w:szCs w:val="22"/>
        </w:rPr>
      </w:pPr>
      <w:r w:rsidRPr="009D3042">
        <w:rPr>
          <w:rFonts w:asciiTheme="minorHAnsi" w:hAnsiTheme="minorHAnsi" w:cstheme="minorBidi"/>
          <w:color w:val="auto"/>
          <w:sz w:val="22"/>
          <w:szCs w:val="22"/>
        </w:rPr>
        <w:t xml:space="preserve">The critical factors that combine to affect the health of individuals and communities are diverse and complex. </w:t>
      </w:r>
      <w:r w:rsidR="00B95B61" w:rsidRPr="009D3042">
        <w:rPr>
          <w:rFonts w:asciiTheme="minorHAnsi" w:hAnsiTheme="minorHAnsi" w:cstheme="minorBidi"/>
          <w:color w:val="auto"/>
          <w:sz w:val="22"/>
          <w:szCs w:val="22"/>
        </w:rPr>
        <w:t xml:space="preserve">As well as personal health, our wellbeing is </w:t>
      </w:r>
      <w:r w:rsidR="00B95B61" w:rsidRPr="009D3042">
        <w:rPr>
          <w:rFonts w:asciiTheme="minorHAnsi" w:hAnsiTheme="minorHAnsi" w:cs="DaxOT-Light"/>
          <w:color w:val="auto"/>
          <w:sz w:val="22"/>
          <w:szCs w:val="22"/>
        </w:rPr>
        <w:t>influenced by w</w:t>
      </w:r>
      <w:r w:rsidR="00B95B61" w:rsidRPr="009D3042">
        <w:rPr>
          <w:rFonts w:asciiTheme="minorHAnsi" w:hAnsiTheme="minorHAnsi" w:cs="DaxOT"/>
          <w:color w:val="auto"/>
          <w:sz w:val="22"/>
          <w:szCs w:val="22"/>
        </w:rPr>
        <w:t>here we live, the state of our environment, our</w:t>
      </w:r>
      <w:r w:rsidR="00B95B61" w:rsidRPr="00B95B61">
        <w:rPr>
          <w:rFonts w:asciiTheme="minorHAnsi" w:hAnsiTheme="minorHAnsi" w:cs="DaxOT"/>
          <w:color w:val="auto"/>
          <w:sz w:val="22"/>
          <w:szCs w:val="22"/>
        </w:rPr>
        <w:t xml:space="preserve"> income and education levels, relationships with family and friends, and relationship to our communities. </w:t>
      </w:r>
    </w:p>
    <w:p w:rsidR="00E2228B" w:rsidRPr="00623B55" w:rsidRDefault="00B95B61" w:rsidP="00B95B61">
      <w:pPr>
        <w:pStyle w:val="Default"/>
        <w:spacing w:line="276" w:lineRule="auto"/>
        <w:rPr>
          <w:rFonts w:asciiTheme="minorHAnsi" w:hAnsiTheme="minorHAnsi"/>
          <w:sz w:val="22"/>
          <w:szCs w:val="22"/>
        </w:rPr>
      </w:pPr>
      <w:r w:rsidRPr="00B95B61">
        <w:rPr>
          <w:rFonts w:asciiTheme="minorHAnsi" w:hAnsiTheme="minorHAnsi" w:cstheme="minorBidi"/>
          <w:color w:val="auto"/>
          <w:sz w:val="22"/>
          <w:szCs w:val="22"/>
        </w:rPr>
        <w:t xml:space="preserve">While in recent years, improvements have been seen in university education rates and employment, </w:t>
      </w:r>
      <w:r w:rsidRPr="00623B55">
        <w:rPr>
          <w:rFonts w:asciiTheme="minorHAnsi" w:hAnsiTheme="minorHAnsi" w:cstheme="minorBidi"/>
          <w:color w:val="auto"/>
          <w:sz w:val="22"/>
          <w:szCs w:val="22"/>
        </w:rPr>
        <w:t xml:space="preserve">Wyndham still falls short in a number of </w:t>
      </w:r>
      <w:r w:rsidRPr="00623B55">
        <w:rPr>
          <w:rFonts w:asciiTheme="minorHAnsi" w:hAnsiTheme="minorHAnsi" w:cs="DaxOT-Light"/>
          <w:color w:val="auto"/>
          <w:sz w:val="22"/>
          <w:szCs w:val="22"/>
        </w:rPr>
        <w:t xml:space="preserve">other social and economic factors </w:t>
      </w:r>
      <w:r w:rsidRPr="00623B55">
        <w:rPr>
          <w:rFonts w:asciiTheme="minorHAnsi" w:hAnsiTheme="minorHAnsi" w:cs="DaxOT"/>
          <w:color w:val="auto"/>
          <w:sz w:val="22"/>
          <w:szCs w:val="22"/>
        </w:rPr>
        <w:t>compared to neighbouring local government areas and the Greater Melbourne region.</w:t>
      </w:r>
    </w:p>
    <w:p w:rsidR="00E2228B" w:rsidRPr="00623B55" w:rsidRDefault="00E2228B" w:rsidP="00E2228B">
      <w:pPr>
        <w:autoSpaceDE w:val="0"/>
        <w:autoSpaceDN w:val="0"/>
        <w:adjustRightInd w:val="0"/>
        <w:spacing w:after="0"/>
        <w:rPr>
          <w:rFonts w:cs="DaxOT"/>
          <w:color w:val="000000"/>
        </w:rPr>
      </w:pPr>
    </w:p>
    <w:p w:rsidR="00623B55" w:rsidRPr="00623B55" w:rsidRDefault="00623B55" w:rsidP="00623B55">
      <w:pPr>
        <w:pStyle w:val="Default"/>
        <w:numPr>
          <w:ilvl w:val="0"/>
          <w:numId w:val="4"/>
        </w:numPr>
        <w:spacing w:line="276" w:lineRule="auto"/>
        <w:rPr>
          <w:rFonts w:asciiTheme="minorHAnsi" w:hAnsiTheme="minorHAnsi" w:cs="DaxOT"/>
          <w:color w:val="auto"/>
          <w:sz w:val="22"/>
          <w:szCs w:val="22"/>
        </w:rPr>
      </w:pPr>
      <w:r w:rsidRPr="00623B55">
        <w:rPr>
          <w:rFonts w:asciiTheme="minorHAnsi" w:hAnsiTheme="minorHAnsi" w:cstheme="minorBidi"/>
          <w:color w:val="auto"/>
          <w:sz w:val="22"/>
          <w:szCs w:val="22"/>
        </w:rPr>
        <w:t xml:space="preserve">Between 2011 and 2015, the proportion of Wyndham residents with a </w:t>
      </w:r>
      <w:r w:rsidRPr="00623B55">
        <w:rPr>
          <w:rFonts w:asciiTheme="minorHAnsi" w:hAnsiTheme="minorHAnsi" w:cs="DaxOT"/>
          <w:color w:val="auto"/>
          <w:sz w:val="22"/>
          <w:szCs w:val="22"/>
        </w:rPr>
        <w:t xml:space="preserve">university qualification increased from 19% to 27%. </w:t>
      </w:r>
    </w:p>
    <w:p w:rsidR="00623B55" w:rsidRPr="00623B55" w:rsidRDefault="00623B55" w:rsidP="00623B55">
      <w:pPr>
        <w:pStyle w:val="Default"/>
        <w:numPr>
          <w:ilvl w:val="0"/>
          <w:numId w:val="4"/>
        </w:numPr>
        <w:spacing w:line="276" w:lineRule="auto"/>
        <w:rPr>
          <w:rFonts w:asciiTheme="minorHAnsi" w:hAnsiTheme="minorHAnsi" w:cs="DaxOT"/>
          <w:color w:val="auto"/>
          <w:sz w:val="22"/>
          <w:szCs w:val="22"/>
        </w:rPr>
      </w:pPr>
      <w:r w:rsidRPr="00623B55">
        <w:rPr>
          <w:rFonts w:asciiTheme="minorHAnsi" w:hAnsiTheme="minorHAnsi" w:cstheme="minorBidi"/>
          <w:color w:val="auto"/>
          <w:sz w:val="22"/>
          <w:szCs w:val="22"/>
        </w:rPr>
        <w:t>Between December 201</w:t>
      </w:r>
      <w:r w:rsidR="009D1944">
        <w:rPr>
          <w:rFonts w:asciiTheme="minorHAnsi" w:hAnsiTheme="minorHAnsi" w:cstheme="minorBidi"/>
          <w:color w:val="auto"/>
          <w:sz w:val="22"/>
          <w:szCs w:val="22"/>
        </w:rPr>
        <w:t>3</w:t>
      </w:r>
      <w:r w:rsidRPr="00623B55">
        <w:rPr>
          <w:rFonts w:asciiTheme="minorHAnsi" w:hAnsiTheme="minorHAnsi" w:cstheme="minorBidi"/>
          <w:color w:val="auto"/>
          <w:sz w:val="22"/>
          <w:szCs w:val="22"/>
        </w:rPr>
        <w:t xml:space="preserve"> and </w:t>
      </w:r>
      <w:r w:rsidR="009D1944">
        <w:rPr>
          <w:rFonts w:asciiTheme="minorHAnsi" w:hAnsiTheme="minorHAnsi" w:cs="DaxOT-Light"/>
          <w:color w:val="auto"/>
          <w:sz w:val="22"/>
          <w:szCs w:val="22"/>
        </w:rPr>
        <w:t>December</w:t>
      </w:r>
      <w:r w:rsidRPr="00623B55">
        <w:rPr>
          <w:rFonts w:asciiTheme="minorHAnsi" w:hAnsiTheme="minorHAnsi" w:cs="DaxOT-Light"/>
          <w:color w:val="auto"/>
          <w:sz w:val="22"/>
          <w:szCs w:val="22"/>
        </w:rPr>
        <w:t xml:space="preserve"> </w:t>
      </w:r>
      <w:r w:rsidRPr="00623B55">
        <w:rPr>
          <w:rFonts w:asciiTheme="minorHAnsi" w:hAnsiTheme="minorHAnsi" w:cs="DaxOT"/>
          <w:color w:val="auto"/>
          <w:sz w:val="22"/>
          <w:szCs w:val="22"/>
        </w:rPr>
        <w:t xml:space="preserve">2016, Wyndham experienced higher levels of unemployment compared to the rest of the state as a whole, with </w:t>
      </w:r>
      <w:r w:rsidRPr="00623B55">
        <w:rPr>
          <w:rFonts w:asciiTheme="minorHAnsi" w:hAnsiTheme="minorHAnsi" w:cs="DaxOT-Light"/>
          <w:color w:val="auto"/>
          <w:sz w:val="22"/>
          <w:szCs w:val="22"/>
        </w:rPr>
        <w:t xml:space="preserve">a </w:t>
      </w:r>
      <w:r w:rsidRPr="00623B55">
        <w:rPr>
          <w:rFonts w:asciiTheme="minorHAnsi" w:hAnsiTheme="minorHAnsi" w:cs="DaxOT"/>
          <w:color w:val="auto"/>
          <w:sz w:val="22"/>
          <w:szCs w:val="22"/>
        </w:rPr>
        <w:t>rate of 6.</w:t>
      </w:r>
      <w:r w:rsidR="009D1944">
        <w:rPr>
          <w:rFonts w:asciiTheme="minorHAnsi" w:hAnsiTheme="minorHAnsi" w:cs="DaxOT"/>
          <w:color w:val="auto"/>
          <w:sz w:val="22"/>
          <w:szCs w:val="22"/>
        </w:rPr>
        <w:t>9</w:t>
      </w:r>
      <w:r w:rsidRPr="00623B55">
        <w:rPr>
          <w:rFonts w:asciiTheme="minorHAnsi" w:hAnsiTheme="minorHAnsi" w:cs="DaxOT"/>
          <w:color w:val="auto"/>
          <w:sz w:val="22"/>
          <w:szCs w:val="22"/>
        </w:rPr>
        <w:t xml:space="preserve">% for Wyndham and </w:t>
      </w:r>
      <w:r w:rsidRPr="00623B55">
        <w:rPr>
          <w:rFonts w:asciiTheme="minorHAnsi" w:hAnsiTheme="minorHAnsi" w:cs="DaxOT-Light"/>
          <w:color w:val="auto"/>
          <w:sz w:val="22"/>
          <w:szCs w:val="22"/>
        </w:rPr>
        <w:t>5.8</w:t>
      </w:r>
      <w:r w:rsidRPr="00623B55">
        <w:rPr>
          <w:rFonts w:asciiTheme="minorHAnsi" w:hAnsiTheme="minorHAnsi" w:cs="DaxOT"/>
          <w:color w:val="auto"/>
          <w:sz w:val="22"/>
          <w:szCs w:val="22"/>
        </w:rPr>
        <w:t xml:space="preserve">% for Victoria. </w:t>
      </w:r>
    </w:p>
    <w:p w:rsidR="00623B55" w:rsidRPr="00623B55" w:rsidRDefault="00623B55" w:rsidP="00623B55">
      <w:pPr>
        <w:pStyle w:val="Default"/>
        <w:numPr>
          <w:ilvl w:val="0"/>
          <w:numId w:val="4"/>
        </w:numPr>
        <w:spacing w:line="276" w:lineRule="auto"/>
        <w:rPr>
          <w:rFonts w:asciiTheme="minorHAnsi" w:hAnsiTheme="minorHAnsi" w:cs="DaxOT"/>
          <w:color w:val="auto"/>
          <w:sz w:val="22"/>
          <w:szCs w:val="22"/>
        </w:rPr>
      </w:pPr>
      <w:r w:rsidRPr="00623B55">
        <w:rPr>
          <w:rFonts w:asciiTheme="minorHAnsi" w:hAnsiTheme="minorHAnsi" w:cstheme="minorBidi"/>
          <w:color w:val="auto"/>
          <w:sz w:val="22"/>
          <w:szCs w:val="22"/>
        </w:rPr>
        <w:t>Around half of all employees in Wyndham are satisfied with their work-life balance</w:t>
      </w:r>
      <w:r w:rsidRPr="00623B55">
        <w:rPr>
          <w:rFonts w:asciiTheme="minorHAnsi" w:hAnsiTheme="minorHAnsi" w:cs="DaxOT"/>
          <w:color w:val="auto"/>
          <w:sz w:val="22"/>
          <w:szCs w:val="22"/>
        </w:rPr>
        <w:t xml:space="preserve">, with a similar figure found across Victoria. </w:t>
      </w:r>
    </w:p>
    <w:p w:rsidR="00623B55" w:rsidRPr="00623B55" w:rsidRDefault="00623B55" w:rsidP="00623B55">
      <w:pPr>
        <w:pStyle w:val="Default"/>
        <w:numPr>
          <w:ilvl w:val="0"/>
          <w:numId w:val="4"/>
        </w:numPr>
        <w:spacing w:line="276" w:lineRule="auto"/>
        <w:rPr>
          <w:rFonts w:asciiTheme="minorHAnsi" w:hAnsiTheme="minorHAnsi" w:cs="DaxOT"/>
          <w:color w:val="auto"/>
          <w:sz w:val="22"/>
          <w:szCs w:val="22"/>
        </w:rPr>
      </w:pPr>
      <w:r w:rsidRPr="00623B55">
        <w:rPr>
          <w:rFonts w:asciiTheme="minorHAnsi" w:hAnsiTheme="minorHAnsi" w:cstheme="minorBidi"/>
          <w:color w:val="auto"/>
          <w:sz w:val="22"/>
          <w:szCs w:val="22"/>
        </w:rPr>
        <w:t xml:space="preserve">At </w:t>
      </w:r>
      <w:r w:rsidRPr="00623B55">
        <w:rPr>
          <w:rFonts w:asciiTheme="minorHAnsi" w:hAnsiTheme="minorHAnsi" w:cs="DaxOT"/>
          <w:color w:val="auto"/>
          <w:sz w:val="22"/>
          <w:szCs w:val="22"/>
        </w:rPr>
        <w:t xml:space="preserve">$1,424, Wyndham’s median weekly household income </w:t>
      </w:r>
      <w:r w:rsidRPr="00623B55">
        <w:rPr>
          <w:rFonts w:asciiTheme="minorHAnsi" w:hAnsiTheme="minorHAnsi" w:cs="DaxOT-Light"/>
          <w:color w:val="auto"/>
          <w:sz w:val="22"/>
          <w:szCs w:val="22"/>
        </w:rPr>
        <w:t xml:space="preserve">is higher than </w:t>
      </w:r>
      <w:r w:rsidRPr="00623B55">
        <w:rPr>
          <w:rFonts w:asciiTheme="minorHAnsi" w:hAnsiTheme="minorHAnsi" w:cs="DaxOT"/>
          <w:color w:val="auto"/>
          <w:sz w:val="22"/>
          <w:szCs w:val="22"/>
        </w:rPr>
        <w:t xml:space="preserve">Victoria’s </w:t>
      </w:r>
      <w:r w:rsidRPr="00623B55">
        <w:rPr>
          <w:rFonts w:asciiTheme="minorHAnsi" w:hAnsiTheme="minorHAnsi" w:cs="DaxOT-Medium"/>
          <w:color w:val="auto"/>
          <w:sz w:val="22"/>
          <w:szCs w:val="22"/>
        </w:rPr>
        <w:t xml:space="preserve">weekly </w:t>
      </w:r>
      <w:r w:rsidRPr="00623B55">
        <w:rPr>
          <w:rFonts w:asciiTheme="minorHAnsi" w:hAnsiTheme="minorHAnsi" w:cs="DaxOT"/>
          <w:color w:val="auto"/>
          <w:sz w:val="22"/>
          <w:szCs w:val="22"/>
        </w:rPr>
        <w:t xml:space="preserve">median income of $1,333. </w:t>
      </w:r>
    </w:p>
    <w:p w:rsidR="00623B55" w:rsidRPr="00623B55" w:rsidRDefault="00623B55" w:rsidP="00623B55">
      <w:pPr>
        <w:pStyle w:val="Default"/>
        <w:numPr>
          <w:ilvl w:val="0"/>
          <w:numId w:val="4"/>
        </w:numPr>
        <w:adjustRightInd w:val="0"/>
        <w:rPr>
          <w:rFonts w:asciiTheme="minorHAnsi" w:hAnsiTheme="minorHAnsi"/>
          <w:sz w:val="22"/>
          <w:szCs w:val="22"/>
        </w:rPr>
      </w:pPr>
      <w:r w:rsidRPr="00623B55">
        <w:rPr>
          <w:rFonts w:asciiTheme="minorHAnsi" w:hAnsiTheme="minorHAnsi" w:cstheme="minorBidi"/>
          <w:color w:val="auto"/>
          <w:sz w:val="22"/>
          <w:szCs w:val="22"/>
        </w:rPr>
        <w:t xml:space="preserve">According to the 2011 Australian Bureau of Statistics SEIFA Index of Relative Socio-economic Disadvantage (IRSD) score, </w:t>
      </w:r>
      <w:r w:rsidRPr="00623B55">
        <w:rPr>
          <w:rFonts w:asciiTheme="minorHAnsi" w:hAnsiTheme="minorHAnsi" w:cs="DaxOT"/>
          <w:color w:val="auto"/>
          <w:sz w:val="22"/>
          <w:szCs w:val="22"/>
        </w:rPr>
        <w:t>Wyndham is slightly more disadvantaged than Greater Melbourne.</w:t>
      </w:r>
    </w:p>
    <w:p w:rsidR="00623B55" w:rsidRPr="00623B55" w:rsidRDefault="00623B55" w:rsidP="00623B55">
      <w:pPr>
        <w:pStyle w:val="Default"/>
        <w:numPr>
          <w:ilvl w:val="0"/>
          <w:numId w:val="4"/>
        </w:numPr>
        <w:spacing w:line="276" w:lineRule="auto"/>
        <w:rPr>
          <w:rFonts w:asciiTheme="minorHAnsi" w:hAnsiTheme="minorHAnsi" w:cs="DaxOT"/>
          <w:color w:val="auto"/>
          <w:sz w:val="22"/>
          <w:szCs w:val="22"/>
        </w:rPr>
      </w:pPr>
      <w:r w:rsidRPr="00623B55">
        <w:rPr>
          <w:rFonts w:asciiTheme="minorHAnsi" w:hAnsiTheme="minorHAnsi" w:cstheme="minorBidi"/>
          <w:color w:val="auto"/>
          <w:sz w:val="22"/>
          <w:szCs w:val="22"/>
        </w:rPr>
        <w:t xml:space="preserve">English speaking proficiency is similar in Wyndham </w:t>
      </w:r>
      <w:r w:rsidRPr="00623B55">
        <w:rPr>
          <w:rFonts w:asciiTheme="minorHAnsi" w:hAnsiTheme="minorHAnsi" w:cs="DaxOT-Light"/>
          <w:color w:val="auto"/>
          <w:sz w:val="22"/>
          <w:szCs w:val="22"/>
        </w:rPr>
        <w:t xml:space="preserve">and </w:t>
      </w:r>
      <w:r w:rsidRPr="00623B55">
        <w:rPr>
          <w:rFonts w:asciiTheme="minorHAnsi" w:hAnsiTheme="minorHAnsi" w:cs="DaxOT"/>
          <w:color w:val="auto"/>
          <w:sz w:val="22"/>
          <w:szCs w:val="22"/>
        </w:rPr>
        <w:t xml:space="preserve">Greater Melbourne. Approximately 25% of residents are </w:t>
      </w:r>
      <w:r w:rsidRPr="00623B55">
        <w:rPr>
          <w:rFonts w:asciiTheme="minorHAnsi" w:hAnsiTheme="minorHAnsi" w:cs="DaxOT-Medium"/>
          <w:color w:val="auto"/>
          <w:sz w:val="22"/>
          <w:szCs w:val="22"/>
        </w:rPr>
        <w:t>multi</w:t>
      </w:r>
      <w:r w:rsidRPr="00623B55">
        <w:rPr>
          <w:rFonts w:asciiTheme="minorHAnsi" w:hAnsiTheme="minorHAnsi" w:cs="DaxOT"/>
          <w:color w:val="auto"/>
          <w:sz w:val="22"/>
          <w:szCs w:val="22"/>
        </w:rPr>
        <w:t>lingual and can speak English well or very well.</w:t>
      </w:r>
    </w:p>
    <w:p w:rsidR="00E2228B" w:rsidRPr="0052780F" w:rsidRDefault="00E2228B" w:rsidP="00E2228B">
      <w:pPr>
        <w:pStyle w:val="Default"/>
        <w:spacing w:line="276" w:lineRule="auto"/>
        <w:ind w:left="720"/>
        <w:rPr>
          <w:rFonts w:asciiTheme="minorHAnsi" w:hAnsiTheme="minorHAnsi" w:cs="DaxOT"/>
          <w:sz w:val="22"/>
          <w:szCs w:val="22"/>
        </w:rPr>
      </w:pPr>
    </w:p>
    <w:p w:rsidR="009D3042" w:rsidRDefault="009D3042" w:rsidP="00BA24E2">
      <w:pPr>
        <w:pStyle w:val="Heading1"/>
      </w:pPr>
    </w:p>
    <w:p w:rsidR="00E2228B" w:rsidRPr="00BA24E2" w:rsidRDefault="00E2228B" w:rsidP="00BA24E2">
      <w:pPr>
        <w:pStyle w:val="Heading1"/>
      </w:pPr>
      <w:r w:rsidRPr="00BA24E2">
        <w:lastRenderedPageBreak/>
        <w:t xml:space="preserve">Community Safety </w:t>
      </w:r>
    </w:p>
    <w:p w:rsidR="006E37F0" w:rsidRPr="006E37F0" w:rsidRDefault="00623B55" w:rsidP="006E37F0">
      <w:pPr>
        <w:pStyle w:val="Default"/>
        <w:rPr>
          <w:rFonts w:ascii="DaxOT" w:hAnsi="DaxOT" w:cs="DaxOT"/>
        </w:rPr>
      </w:pPr>
      <w:r w:rsidRPr="00623B55">
        <w:rPr>
          <w:rFonts w:asciiTheme="minorHAnsi" w:hAnsiTheme="minorHAnsi"/>
          <w:sz w:val="22"/>
          <w:szCs w:val="22"/>
        </w:rPr>
        <w:t>The personal safety of residents is a vital part of wider community wellbeing. Data regarding feeling safe includes safety on public transport, on the roads and within the home.</w:t>
      </w:r>
      <w:r w:rsidR="006E37F0" w:rsidRPr="006E37F0">
        <w:t xml:space="preserve"> </w:t>
      </w:r>
    </w:p>
    <w:p w:rsidR="00E2228B" w:rsidRPr="006E37F0" w:rsidRDefault="006E37F0" w:rsidP="006E37F0">
      <w:pPr>
        <w:autoSpaceDE w:val="0"/>
        <w:autoSpaceDN w:val="0"/>
        <w:adjustRightInd w:val="0"/>
        <w:spacing w:after="0"/>
        <w:rPr>
          <w:rFonts w:cs="DaxOT"/>
          <w:color w:val="000000"/>
        </w:rPr>
      </w:pPr>
      <w:r w:rsidRPr="006E37F0">
        <w:t>The perception of public safety in Wyndham is more positive now than in recent years</w:t>
      </w:r>
      <w:r w:rsidRPr="006E37F0">
        <w:rPr>
          <w:rFonts w:cs="DaxOT-Light"/>
        </w:rPr>
        <w:t xml:space="preserve">. Feelings of safety during the day and night are improving. Whether this trend continues could be strongly influenced by crime rates, which </w:t>
      </w:r>
      <w:r w:rsidRPr="006E37F0">
        <w:rPr>
          <w:rFonts w:cs="DaxOT"/>
        </w:rPr>
        <w:t xml:space="preserve">are generally </w:t>
      </w:r>
      <w:r w:rsidRPr="006E37F0">
        <w:rPr>
          <w:rFonts w:cs="DaxOT-Light"/>
        </w:rPr>
        <w:t xml:space="preserve">lower </w:t>
      </w:r>
      <w:r w:rsidRPr="006E37F0">
        <w:rPr>
          <w:rFonts w:cs="DaxOT"/>
        </w:rPr>
        <w:t xml:space="preserve">than the state and regional average, </w:t>
      </w:r>
      <w:r w:rsidRPr="006E37F0">
        <w:rPr>
          <w:rFonts w:cs="DaxOT-Light"/>
        </w:rPr>
        <w:t xml:space="preserve">and </w:t>
      </w:r>
      <w:r w:rsidRPr="006E37F0">
        <w:rPr>
          <w:rFonts w:cs="DaxOT"/>
        </w:rPr>
        <w:t xml:space="preserve">increasing at a </w:t>
      </w:r>
      <w:r w:rsidRPr="006E37F0">
        <w:rPr>
          <w:rFonts w:cs="DaxOT-Light"/>
        </w:rPr>
        <w:t xml:space="preserve">slower </w:t>
      </w:r>
      <w:r w:rsidRPr="006E37F0">
        <w:rPr>
          <w:rFonts w:cs="DaxOT"/>
        </w:rPr>
        <w:t>rate.</w:t>
      </w:r>
    </w:p>
    <w:p w:rsidR="006E37F0" w:rsidRPr="006E37F0" w:rsidRDefault="006E37F0" w:rsidP="006E37F0">
      <w:pPr>
        <w:autoSpaceDE w:val="0"/>
        <w:autoSpaceDN w:val="0"/>
        <w:adjustRightInd w:val="0"/>
        <w:spacing w:after="0" w:line="240" w:lineRule="auto"/>
        <w:rPr>
          <w:rFonts w:ascii="DaxOT" w:hAnsi="DaxOT" w:cs="DaxOT"/>
          <w:color w:val="000000"/>
          <w:sz w:val="24"/>
          <w:szCs w:val="24"/>
        </w:rPr>
      </w:pPr>
    </w:p>
    <w:p w:rsidR="006E37F0" w:rsidRPr="006E37F0" w:rsidRDefault="006E37F0" w:rsidP="006E37F0">
      <w:pPr>
        <w:pStyle w:val="Default"/>
        <w:numPr>
          <w:ilvl w:val="0"/>
          <w:numId w:val="10"/>
        </w:numPr>
        <w:spacing w:line="276" w:lineRule="auto"/>
        <w:rPr>
          <w:rFonts w:asciiTheme="minorHAnsi" w:hAnsiTheme="minorHAnsi" w:cs="DaxOT"/>
          <w:color w:val="auto"/>
          <w:sz w:val="22"/>
          <w:szCs w:val="22"/>
        </w:rPr>
      </w:pPr>
      <w:r w:rsidRPr="006E37F0">
        <w:rPr>
          <w:rFonts w:asciiTheme="minorHAnsi" w:hAnsiTheme="minorHAnsi" w:cstheme="minorBidi"/>
          <w:color w:val="auto"/>
          <w:sz w:val="22"/>
          <w:szCs w:val="22"/>
        </w:rPr>
        <w:t xml:space="preserve">In general, </w:t>
      </w:r>
      <w:r w:rsidRPr="006E37F0">
        <w:rPr>
          <w:rFonts w:asciiTheme="minorHAnsi" w:hAnsiTheme="minorHAnsi" w:cs="DaxOT"/>
          <w:color w:val="auto"/>
          <w:sz w:val="22"/>
          <w:szCs w:val="22"/>
        </w:rPr>
        <w:t>Wyndham residents feel safe in public areas, with train travel recording the greatest increase in</w:t>
      </w:r>
      <w:r w:rsidR="009330AF">
        <w:rPr>
          <w:rFonts w:asciiTheme="minorHAnsi" w:hAnsiTheme="minorHAnsi" w:cs="DaxOT"/>
          <w:color w:val="auto"/>
          <w:sz w:val="22"/>
          <w:szCs w:val="22"/>
        </w:rPr>
        <w:t xml:space="preserve"> feelings of</w:t>
      </w:r>
      <w:r w:rsidRPr="006E37F0">
        <w:rPr>
          <w:rFonts w:asciiTheme="minorHAnsi" w:hAnsiTheme="minorHAnsi" w:cs="DaxOT"/>
          <w:color w:val="auto"/>
          <w:sz w:val="22"/>
          <w:szCs w:val="22"/>
        </w:rPr>
        <w:t xml:space="preserve"> safety. </w:t>
      </w:r>
    </w:p>
    <w:p w:rsidR="00E2228B" w:rsidRPr="006E37F0" w:rsidRDefault="00E2228B" w:rsidP="006E37F0">
      <w:pPr>
        <w:pStyle w:val="Default"/>
        <w:numPr>
          <w:ilvl w:val="0"/>
          <w:numId w:val="10"/>
        </w:numPr>
        <w:spacing w:line="276" w:lineRule="auto"/>
        <w:rPr>
          <w:rFonts w:asciiTheme="minorHAnsi" w:hAnsiTheme="minorHAnsi" w:cs="DaxOT"/>
          <w:color w:val="auto"/>
          <w:sz w:val="22"/>
          <w:szCs w:val="22"/>
        </w:rPr>
      </w:pPr>
      <w:r w:rsidRPr="006E37F0">
        <w:rPr>
          <w:rFonts w:asciiTheme="minorHAnsi" w:hAnsiTheme="minorHAnsi" w:cstheme="minorBidi"/>
          <w:color w:val="auto"/>
          <w:sz w:val="22"/>
          <w:szCs w:val="22"/>
        </w:rPr>
        <w:t xml:space="preserve">Across Wyndham and Victoria in general, </w:t>
      </w:r>
      <w:r w:rsidRPr="006E37F0">
        <w:rPr>
          <w:rFonts w:asciiTheme="minorHAnsi" w:hAnsiTheme="minorHAnsi" w:cs="DaxOT"/>
          <w:color w:val="auto"/>
          <w:sz w:val="22"/>
          <w:szCs w:val="22"/>
        </w:rPr>
        <w:t>property and deception offences had the highest reports.</w:t>
      </w:r>
    </w:p>
    <w:p w:rsidR="006E37F0" w:rsidRPr="006E37F0" w:rsidRDefault="006E37F0" w:rsidP="006E37F0">
      <w:pPr>
        <w:pStyle w:val="Default"/>
        <w:numPr>
          <w:ilvl w:val="0"/>
          <w:numId w:val="10"/>
        </w:numPr>
        <w:spacing w:line="276" w:lineRule="auto"/>
        <w:rPr>
          <w:rFonts w:asciiTheme="minorHAnsi" w:hAnsiTheme="minorHAnsi" w:cs="DaxOT"/>
          <w:color w:val="auto"/>
          <w:sz w:val="22"/>
          <w:szCs w:val="22"/>
        </w:rPr>
      </w:pPr>
      <w:r w:rsidRPr="006E37F0">
        <w:rPr>
          <w:rFonts w:asciiTheme="minorHAnsi" w:hAnsiTheme="minorHAnsi" w:cstheme="minorBidi"/>
          <w:color w:val="auto"/>
          <w:sz w:val="22"/>
          <w:szCs w:val="22"/>
        </w:rPr>
        <w:t xml:space="preserve">The </w:t>
      </w:r>
      <w:r w:rsidRPr="006E37F0">
        <w:rPr>
          <w:rFonts w:asciiTheme="minorHAnsi" w:hAnsiTheme="minorHAnsi" w:cs="DaxOT"/>
          <w:color w:val="auto"/>
          <w:sz w:val="22"/>
          <w:szCs w:val="22"/>
        </w:rPr>
        <w:t xml:space="preserve">crime rate in Wyndham is lower </w:t>
      </w:r>
      <w:r w:rsidRPr="006E37F0">
        <w:rPr>
          <w:rFonts w:asciiTheme="minorHAnsi" w:hAnsiTheme="minorHAnsi" w:cs="DaxOT-Light"/>
          <w:color w:val="auto"/>
          <w:sz w:val="22"/>
          <w:szCs w:val="22"/>
        </w:rPr>
        <w:t xml:space="preserve">and not increasing as quickly as in the </w:t>
      </w:r>
      <w:r w:rsidRPr="006E37F0">
        <w:rPr>
          <w:rFonts w:asciiTheme="minorHAnsi" w:hAnsiTheme="minorHAnsi" w:cs="DaxOT"/>
          <w:color w:val="auto"/>
          <w:sz w:val="22"/>
          <w:szCs w:val="22"/>
        </w:rPr>
        <w:t xml:space="preserve">North </w:t>
      </w:r>
      <w:r w:rsidRPr="006E37F0">
        <w:rPr>
          <w:rFonts w:asciiTheme="minorHAnsi" w:hAnsiTheme="minorHAnsi" w:cs="DaxOT-Light"/>
          <w:color w:val="auto"/>
          <w:sz w:val="22"/>
          <w:szCs w:val="22"/>
        </w:rPr>
        <w:t xml:space="preserve">and </w:t>
      </w:r>
      <w:r w:rsidRPr="006E37F0">
        <w:rPr>
          <w:rFonts w:asciiTheme="minorHAnsi" w:hAnsiTheme="minorHAnsi" w:cs="DaxOT"/>
          <w:color w:val="auto"/>
          <w:sz w:val="22"/>
          <w:szCs w:val="22"/>
        </w:rPr>
        <w:t xml:space="preserve">West Metro </w:t>
      </w:r>
      <w:r w:rsidRPr="006E37F0">
        <w:rPr>
          <w:rFonts w:asciiTheme="minorHAnsi" w:hAnsiTheme="minorHAnsi" w:cs="DaxOT-Light"/>
          <w:color w:val="auto"/>
          <w:sz w:val="22"/>
          <w:szCs w:val="22"/>
        </w:rPr>
        <w:t xml:space="preserve">area </w:t>
      </w:r>
      <w:r w:rsidRPr="006E37F0">
        <w:rPr>
          <w:rFonts w:asciiTheme="minorHAnsi" w:hAnsiTheme="minorHAnsi" w:cs="DaxOT"/>
          <w:color w:val="auto"/>
          <w:sz w:val="22"/>
          <w:szCs w:val="22"/>
        </w:rPr>
        <w:t xml:space="preserve">and Victoria. </w:t>
      </w:r>
    </w:p>
    <w:p w:rsidR="006E37F0" w:rsidRPr="006E37F0" w:rsidRDefault="006E37F0" w:rsidP="006E37F0">
      <w:pPr>
        <w:pStyle w:val="Default"/>
        <w:numPr>
          <w:ilvl w:val="0"/>
          <w:numId w:val="10"/>
        </w:numPr>
        <w:spacing w:line="276" w:lineRule="auto"/>
        <w:rPr>
          <w:rFonts w:asciiTheme="minorHAnsi" w:hAnsiTheme="minorHAnsi" w:cs="DaxOT"/>
          <w:color w:val="auto"/>
          <w:sz w:val="22"/>
          <w:szCs w:val="22"/>
        </w:rPr>
      </w:pPr>
      <w:r w:rsidRPr="006E37F0">
        <w:rPr>
          <w:rFonts w:asciiTheme="minorHAnsi" w:hAnsiTheme="minorHAnsi" w:cstheme="minorBidi"/>
          <w:color w:val="auto"/>
          <w:sz w:val="22"/>
          <w:szCs w:val="22"/>
        </w:rPr>
        <w:t xml:space="preserve">Between 2015 and 2016, the number of offences in the broad ‘justice procedure’ category increased by </w:t>
      </w:r>
      <w:r w:rsidRPr="006E37F0">
        <w:rPr>
          <w:rFonts w:asciiTheme="minorHAnsi" w:hAnsiTheme="minorHAnsi" w:cs="DaxOT-Medium"/>
          <w:color w:val="auto"/>
          <w:sz w:val="22"/>
          <w:szCs w:val="22"/>
        </w:rPr>
        <w:t>23</w:t>
      </w:r>
      <w:r w:rsidRPr="006E37F0">
        <w:rPr>
          <w:rFonts w:asciiTheme="minorHAnsi" w:hAnsiTheme="minorHAnsi" w:cs="DaxOT"/>
          <w:color w:val="auto"/>
          <w:sz w:val="22"/>
          <w:szCs w:val="22"/>
        </w:rPr>
        <w:t xml:space="preserve">% compared to </w:t>
      </w:r>
      <w:r w:rsidRPr="006E37F0">
        <w:rPr>
          <w:rFonts w:asciiTheme="minorHAnsi" w:hAnsiTheme="minorHAnsi" w:cs="DaxOT-Medium"/>
          <w:color w:val="auto"/>
          <w:sz w:val="22"/>
          <w:szCs w:val="22"/>
        </w:rPr>
        <w:t>17</w:t>
      </w:r>
      <w:r w:rsidRPr="006E37F0">
        <w:rPr>
          <w:rFonts w:asciiTheme="minorHAnsi" w:hAnsiTheme="minorHAnsi" w:cs="DaxOT"/>
          <w:color w:val="auto"/>
          <w:sz w:val="22"/>
          <w:szCs w:val="22"/>
        </w:rPr>
        <w:t xml:space="preserve">% across Victoria. </w:t>
      </w:r>
    </w:p>
    <w:p w:rsidR="00E2228B" w:rsidRPr="006E37F0" w:rsidRDefault="00E2228B" w:rsidP="006E37F0">
      <w:pPr>
        <w:pStyle w:val="Default"/>
        <w:numPr>
          <w:ilvl w:val="0"/>
          <w:numId w:val="10"/>
        </w:numPr>
        <w:spacing w:line="276" w:lineRule="auto"/>
        <w:rPr>
          <w:rFonts w:asciiTheme="minorHAnsi" w:hAnsiTheme="minorHAnsi" w:cs="DaxOT"/>
          <w:color w:val="auto"/>
          <w:sz w:val="22"/>
          <w:szCs w:val="22"/>
        </w:rPr>
      </w:pPr>
      <w:r w:rsidRPr="006E37F0">
        <w:rPr>
          <w:rFonts w:asciiTheme="minorHAnsi" w:hAnsiTheme="minorHAnsi" w:cstheme="minorBidi"/>
          <w:color w:val="auto"/>
          <w:sz w:val="22"/>
          <w:szCs w:val="22"/>
        </w:rPr>
        <w:t xml:space="preserve">In 2015, the number of ‘other injury crashes’ declined from a spike in 2014, with </w:t>
      </w:r>
      <w:r w:rsidRPr="006E37F0">
        <w:rPr>
          <w:rFonts w:asciiTheme="minorHAnsi" w:hAnsiTheme="minorHAnsi" w:cs="DaxOT"/>
          <w:color w:val="auto"/>
          <w:sz w:val="22"/>
          <w:szCs w:val="22"/>
        </w:rPr>
        <w:t xml:space="preserve">183 recorded accidents, which was 72 </w:t>
      </w:r>
      <w:proofErr w:type="gramStart"/>
      <w:r w:rsidRPr="006E37F0">
        <w:rPr>
          <w:rFonts w:asciiTheme="minorHAnsi" w:hAnsiTheme="minorHAnsi" w:cs="DaxOT"/>
          <w:color w:val="auto"/>
          <w:sz w:val="22"/>
          <w:szCs w:val="22"/>
        </w:rPr>
        <w:t>fewer</w:t>
      </w:r>
      <w:proofErr w:type="gramEnd"/>
      <w:r w:rsidRPr="006E37F0">
        <w:rPr>
          <w:rFonts w:asciiTheme="minorHAnsi" w:hAnsiTheme="minorHAnsi" w:cs="DaxOT"/>
          <w:color w:val="auto"/>
          <w:sz w:val="22"/>
          <w:szCs w:val="22"/>
        </w:rPr>
        <w:t xml:space="preserve"> than the previous year.</w:t>
      </w:r>
    </w:p>
    <w:p w:rsidR="006E37F0" w:rsidRPr="006E37F0" w:rsidRDefault="00E2228B" w:rsidP="006E37F0">
      <w:pPr>
        <w:pStyle w:val="Default"/>
        <w:numPr>
          <w:ilvl w:val="0"/>
          <w:numId w:val="10"/>
        </w:numPr>
        <w:spacing w:line="276" w:lineRule="auto"/>
        <w:rPr>
          <w:rFonts w:asciiTheme="minorHAnsi" w:hAnsiTheme="minorHAnsi" w:cs="DaxOT"/>
          <w:color w:val="auto"/>
          <w:sz w:val="22"/>
          <w:szCs w:val="22"/>
        </w:rPr>
      </w:pPr>
      <w:r w:rsidRPr="006E37F0">
        <w:rPr>
          <w:rFonts w:asciiTheme="minorHAnsi" w:hAnsiTheme="minorHAnsi" w:cstheme="minorBidi"/>
          <w:color w:val="auto"/>
          <w:sz w:val="22"/>
          <w:szCs w:val="22"/>
        </w:rPr>
        <w:t xml:space="preserve">‘Serious injury and fatalities’ increased the most for drivers, with </w:t>
      </w:r>
      <w:r w:rsidRPr="006E37F0">
        <w:rPr>
          <w:rFonts w:asciiTheme="minorHAnsi" w:hAnsiTheme="minorHAnsi" w:cs="DaxOT"/>
          <w:color w:val="auto"/>
          <w:sz w:val="22"/>
          <w:szCs w:val="22"/>
        </w:rPr>
        <w:t>56 incidents reported in 2015, seven more than in 2014. Bicycle accidents doubled from four to eight incidents in 2015.</w:t>
      </w:r>
    </w:p>
    <w:p w:rsidR="006E37F0" w:rsidRPr="006E37F0" w:rsidRDefault="006E37F0" w:rsidP="006E37F0">
      <w:pPr>
        <w:pStyle w:val="Default"/>
        <w:numPr>
          <w:ilvl w:val="0"/>
          <w:numId w:val="10"/>
        </w:numPr>
        <w:spacing w:line="276" w:lineRule="auto"/>
        <w:rPr>
          <w:rFonts w:asciiTheme="minorHAnsi" w:hAnsiTheme="minorHAnsi" w:cs="DaxOT"/>
          <w:sz w:val="22"/>
          <w:szCs w:val="22"/>
        </w:rPr>
      </w:pPr>
      <w:r w:rsidRPr="006E37F0">
        <w:rPr>
          <w:rFonts w:asciiTheme="minorHAnsi" w:hAnsiTheme="minorHAnsi" w:cstheme="minorBidi"/>
          <w:color w:val="auto"/>
          <w:sz w:val="22"/>
          <w:szCs w:val="22"/>
        </w:rPr>
        <w:t xml:space="preserve">Between 2015 and </w:t>
      </w:r>
      <w:r w:rsidRPr="006E37F0">
        <w:rPr>
          <w:rFonts w:asciiTheme="minorHAnsi" w:hAnsiTheme="minorHAnsi" w:cs="DaxOT"/>
          <w:color w:val="auto"/>
          <w:sz w:val="22"/>
          <w:szCs w:val="22"/>
        </w:rPr>
        <w:t xml:space="preserve">2016, there was a 6% increase in the number of recorded family violence incidents in Wyndham; more than the North </w:t>
      </w:r>
      <w:r w:rsidRPr="006E37F0">
        <w:rPr>
          <w:rFonts w:asciiTheme="minorHAnsi" w:hAnsiTheme="minorHAnsi" w:cs="DaxOT-Medium"/>
          <w:color w:val="auto"/>
          <w:sz w:val="22"/>
          <w:szCs w:val="22"/>
        </w:rPr>
        <w:t xml:space="preserve">and </w:t>
      </w:r>
      <w:r w:rsidRPr="006E37F0">
        <w:rPr>
          <w:rFonts w:asciiTheme="minorHAnsi" w:hAnsiTheme="minorHAnsi" w:cs="DaxOT"/>
          <w:color w:val="auto"/>
          <w:sz w:val="22"/>
          <w:szCs w:val="22"/>
        </w:rPr>
        <w:t xml:space="preserve">West Metro </w:t>
      </w:r>
      <w:r w:rsidRPr="006E37F0">
        <w:rPr>
          <w:rFonts w:asciiTheme="minorHAnsi" w:hAnsiTheme="minorHAnsi" w:cs="DaxOT-Medium"/>
          <w:color w:val="auto"/>
          <w:sz w:val="22"/>
          <w:szCs w:val="22"/>
        </w:rPr>
        <w:t xml:space="preserve">area </w:t>
      </w:r>
      <w:r w:rsidRPr="006E37F0">
        <w:rPr>
          <w:rFonts w:asciiTheme="minorHAnsi" w:hAnsiTheme="minorHAnsi" w:cs="DaxOT"/>
          <w:color w:val="auto"/>
          <w:sz w:val="22"/>
          <w:szCs w:val="22"/>
        </w:rPr>
        <w:t>(</w:t>
      </w:r>
      <w:r w:rsidRPr="006E37F0">
        <w:rPr>
          <w:rFonts w:asciiTheme="minorHAnsi" w:hAnsiTheme="minorHAnsi" w:cs="DaxOT-Medium"/>
          <w:color w:val="auto"/>
          <w:sz w:val="22"/>
          <w:szCs w:val="22"/>
        </w:rPr>
        <w:t>2</w:t>
      </w:r>
      <w:r w:rsidRPr="006E37F0">
        <w:rPr>
          <w:rFonts w:asciiTheme="minorHAnsi" w:hAnsiTheme="minorHAnsi" w:cs="DaxOT"/>
          <w:color w:val="auto"/>
          <w:sz w:val="22"/>
          <w:szCs w:val="22"/>
        </w:rPr>
        <w:t xml:space="preserve">%) </w:t>
      </w:r>
      <w:r w:rsidRPr="006E37F0">
        <w:rPr>
          <w:rFonts w:asciiTheme="minorHAnsi" w:hAnsiTheme="minorHAnsi" w:cs="DaxOT-Light"/>
          <w:color w:val="auto"/>
          <w:sz w:val="22"/>
          <w:szCs w:val="22"/>
        </w:rPr>
        <w:t xml:space="preserve">some </w:t>
      </w:r>
      <w:r w:rsidRPr="006E37F0">
        <w:rPr>
          <w:rFonts w:asciiTheme="minorHAnsi" w:hAnsiTheme="minorHAnsi" w:cs="DaxOT"/>
          <w:color w:val="auto"/>
          <w:sz w:val="22"/>
          <w:szCs w:val="22"/>
        </w:rPr>
        <w:t xml:space="preserve">comparable growth areas. </w:t>
      </w:r>
    </w:p>
    <w:p w:rsidR="006E37F0" w:rsidRPr="006E37F0" w:rsidRDefault="006E37F0" w:rsidP="006E37F0">
      <w:pPr>
        <w:pStyle w:val="Default"/>
        <w:numPr>
          <w:ilvl w:val="0"/>
          <w:numId w:val="10"/>
        </w:numPr>
        <w:spacing w:line="276" w:lineRule="auto"/>
        <w:rPr>
          <w:rFonts w:asciiTheme="minorHAnsi" w:hAnsiTheme="minorHAnsi" w:cs="DaxOT"/>
          <w:sz w:val="22"/>
          <w:szCs w:val="22"/>
        </w:rPr>
      </w:pPr>
      <w:r w:rsidRPr="006E37F0">
        <w:rPr>
          <w:rFonts w:asciiTheme="minorHAnsi" w:hAnsiTheme="minorHAnsi" w:cstheme="minorBidi"/>
          <w:color w:val="auto"/>
          <w:sz w:val="22"/>
          <w:szCs w:val="22"/>
        </w:rPr>
        <w:t>Between 201</w:t>
      </w:r>
      <w:r w:rsidRPr="006E37F0">
        <w:rPr>
          <w:rFonts w:asciiTheme="minorHAnsi" w:hAnsiTheme="minorHAnsi" w:cs="DaxOT-Light"/>
          <w:color w:val="auto"/>
          <w:sz w:val="22"/>
          <w:szCs w:val="22"/>
        </w:rPr>
        <w:t xml:space="preserve">2 </w:t>
      </w:r>
      <w:r w:rsidRPr="006E37F0">
        <w:rPr>
          <w:rFonts w:asciiTheme="minorHAnsi" w:hAnsiTheme="minorHAnsi" w:cs="DaxOT"/>
          <w:color w:val="auto"/>
          <w:sz w:val="22"/>
          <w:szCs w:val="22"/>
        </w:rPr>
        <w:t xml:space="preserve">and 2016, the rate of recorded family violence incidents in Wyndham, the North West Metro Region and Victoria increased by more </w:t>
      </w:r>
      <w:r w:rsidRPr="006E37F0">
        <w:rPr>
          <w:rFonts w:asciiTheme="minorHAnsi" w:hAnsiTheme="minorHAnsi" w:cs="DaxOT-Light"/>
          <w:color w:val="auto"/>
          <w:sz w:val="22"/>
          <w:szCs w:val="22"/>
        </w:rPr>
        <w:t xml:space="preserve">over </w:t>
      </w:r>
      <w:r w:rsidRPr="006E37F0">
        <w:rPr>
          <w:rFonts w:asciiTheme="minorHAnsi" w:hAnsiTheme="minorHAnsi" w:cs="DaxOT-Medium"/>
          <w:color w:val="auto"/>
          <w:sz w:val="22"/>
          <w:szCs w:val="22"/>
        </w:rPr>
        <w:t xml:space="preserve">250 </w:t>
      </w:r>
      <w:r w:rsidRPr="006E37F0">
        <w:rPr>
          <w:rFonts w:asciiTheme="minorHAnsi" w:hAnsiTheme="minorHAnsi" w:cs="DaxOT"/>
          <w:color w:val="auto"/>
          <w:sz w:val="22"/>
          <w:szCs w:val="22"/>
        </w:rPr>
        <w:t xml:space="preserve">incidents per 100,000 population. </w:t>
      </w:r>
    </w:p>
    <w:p w:rsidR="00430610" w:rsidRPr="000167FE" w:rsidRDefault="00430610" w:rsidP="00430610">
      <w:pPr>
        <w:pStyle w:val="Default"/>
        <w:spacing w:line="276" w:lineRule="auto"/>
        <w:rPr>
          <w:rFonts w:asciiTheme="minorHAnsi" w:hAnsiTheme="minorHAnsi" w:cs="DaxOT"/>
          <w:sz w:val="22"/>
          <w:szCs w:val="22"/>
        </w:rPr>
      </w:pPr>
    </w:p>
    <w:p w:rsidR="00906D83" w:rsidRPr="00906D83" w:rsidRDefault="00E2228B" w:rsidP="00906D83">
      <w:pPr>
        <w:pStyle w:val="Heading1"/>
      </w:pPr>
      <w:r w:rsidRPr="00BA24E2">
        <w:t>Early Years</w:t>
      </w:r>
    </w:p>
    <w:p w:rsidR="00E2228B" w:rsidRPr="00906D83" w:rsidRDefault="00906D83" w:rsidP="00906D83">
      <w:pPr>
        <w:spacing w:after="0"/>
      </w:pPr>
      <w:r w:rsidRPr="00906D83">
        <w:t xml:space="preserve">Good physical and emotional health in early childhood lays the foundations for positive health behaviours, wellbeing and learning throughout adolescence to adulthood. </w:t>
      </w:r>
      <w:r w:rsidR="00E2228B" w:rsidRPr="00906D83">
        <w:t xml:space="preserve">Over 20% of the Wyndham population are aged between 0 and 11 years of age (43,204). By 2036, an additional 38,000 children will be living in Wyndham, increasing the population by 90% (81,919). </w:t>
      </w:r>
    </w:p>
    <w:p w:rsidR="00E2228B" w:rsidRPr="00A73A56" w:rsidRDefault="00E2228B" w:rsidP="00E2228B">
      <w:pPr>
        <w:autoSpaceDE w:val="0"/>
        <w:autoSpaceDN w:val="0"/>
        <w:adjustRightInd w:val="0"/>
        <w:spacing w:after="0"/>
        <w:rPr>
          <w:rFonts w:cs="DaxOT"/>
          <w:color w:val="000000"/>
        </w:rPr>
      </w:pPr>
    </w:p>
    <w:p w:rsidR="005E4E24" w:rsidRPr="005E4E24" w:rsidRDefault="005E4E24" w:rsidP="005E4E24">
      <w:pPr>
        <w:pStyle w:val="ListParagraph"/>
        <w:numPr>
          <w:ilvl w:val="0"/>
          <w:numId w:val="1"/>
        </w:numPr>
        <w:spacing w:after="0"/>
        <w:rPr>
          <w:rFonts w:cs="DaxOT"/>
        </w:rPr>
      </w:pPr>
      <w:r w:rsidRPr="005E4E24">
        <w:t xml:space="preserve">Less than half of all three month old children in Wyndham were breastfed in 2014/15, this was almost </w:t>
      </w:r>
      <w:r w:rsidRPr="005E4E24">
        <w:rPr>
          <w:rFonts w:cs="DaxOT"/>
        </w:rPr>
        <w:t xml:space="preserve">10% less than children breastfed in Victoria. </w:t>
      </w:r>
    </w:p>
    <w:p w:rsidR="005E4E24" w:rsidRPr="005E4E24" w:rsidRDefault="005E4E24" w:rsidP="005E4E24">
      <w:pPr>
        <w:pStyle w:val="ListParagraph"/>
        <w:numPr>
          <w:ilvl w:val="0"/>
          <w:numId w:val="1"/>
        </w:numPr>
        <w:spacing w:after="0"/>
        <w:rPr>
          <w:rFonts w:cs="DaxOT"/>
        </w:rPr>
      </w:pPr>
      <w:r w:rsidRPr="005E4E24">
        <w:t xml:space="preserve">Overall, Wyndham has an average of </w:t>
      </w:r>
      <w:r w:rsidRPr="005E4E24">
        <w:rPr>
          <w:rFonts w:cs="DaxOT"/>
        </w:rPr>
        <w:t>9</w:t>
      </w:r>
      <w:r w:rsidRPr="005E4E24">
        <w:rPr>
          <w:rFonts w:cs="DaxOT-Medium"/>
        </w:rPr>
        <w:t>1</w:t>
      </w:r>
      <w:r w:rsidRPr="005E4E24">
        <w:rPr>
          <w:rFonts w:cs="DaxOT"/>
        </w:rPr>
        <w:t xml:space="preserve">% of immunisations across the 12-63 month age group, similar to the Victorian average. </w:t>
      </w:r>
    </w:p>
    <w:p w:rsidR="005E4E24" w:rsidRPr="005E4E24" w:rsidRDefault="005E4E24" w:rsidP="005E4E24">
      <w:pPr>
        <w:pStyle w:val="ListParagraph"/>
        <w:numPr>
          <w:ilvl w:val="0"/>
          <w:numId w:val="1"/>
        </w:numPr>
        <w:spacing w:after="0"/>
        <w:rPr>
          <w:rFonts w:cs="DaxOT"/>
        </w:rPr>
      </w:pPr>
      <w:r w:rsidRPr="005E4E24">
        <w:t xml:space="preserve">The proportion of Wyndham children attending their 3.5 year Maternal and Child Health check </w:t>
      </w:r>
      <w:r w:rsidRPr="005E4E24">
        <w:rPr>
          <w:rFonts w:cs="DaxOT-Bold"/>
          <w:bCs/>
        </w:rPr>
        <w:t xml:space="preserve">increased from </w:t>
      </w:r>
      <w:r w:rsidRPr="005E4E24">
        <w:rPr>
          <w:rFonts w:cs="DaxOT"/>
        </w:rPr>
        <w:t>43% to 57% between 2011 and 2015. Despite th</w:t>
      </w:r>
      <w:r w:rsidRPr="005E4E24">
        <w:rPr>
          <w:rFonts w:cs="DaxOT-Light"/>
        </w:rPr>
        <w:t>is</w:t>
      </w:r>
      <w:r w:rsidRPr="005E4E24">
        <w:rPr>
          <w:rFonts w:cs="DaxOT"/>
        </w:rPr>
        <w:t xml:space="preserve">, 9% fewer Wyndham children </w:t>
      </w:r>
      <w:r w:rsidRPr="005E4E24">
        <w:rPr>
          <w:rFonts w:cs="DaxOT-Light"/>
        </w:rPr>
        <w:t xml:space="preserve">compared to children Victoria </w:t>
      </w:r>
      <w:r w:rsidR="00215B85" w:rsidRPr="005E4E24">
        <w:rPr>
          <w:rFonts w:cs="DaxOT-Light"/>
        </w:rPr>
        <w:t>wide</w:t>
      </w:r>
      <w:r w:rsidRPr="005E4E24">
        <w:rPr>
          <w:rFonts w:cs="DaxOT-Light"/>
        </w:rPr>
        <w:t xml:space="preserve"> </w:t>
      </w:r>
      <w:r w:rsidRPr="005E4E24">
        <w:rPr>
          <w:rFonts w:cs="DaxOT"/>
        </w:rPr>
        <w:t>attended the health check in 2014/15</w:t>
      </w:r>
      <w:r w:rsidRPr="005E4E24">
        <w:rPr>
          <w:rFonts w:cs="DaxOT-Light"/>
        </w:rPr>
        <w:t xml:space="preserve">. </w:t>
      </w:r>
    </w:p>
    <w:p w:rsidR="005E4E24" w:rsidRPr="005E4E24" w:rsidRDefault="005E4E24" w:rsidP="005E4E24">
      <w:pPr>
        <w:pStyle w:val="ListParagraph"/>
        <w:numPr>
          <w:ilvl w:val="0"/>
          <w:numId w:val="1"/>
        </w:numPr>
        <w:spacing w:after="0"/>
        <w:rPr>
          <w:rFonts w:cs="DaxOT"/>
        </w:rPr>
      </w:pPr>
      <w:r w:rsidRPr="005E4E24">
        <w:lastRenderedPageBreak/>
        <w:t xml:space="preserve">Compared to students across Victoria, there were a </w:t>
      </w:r>
      <w:r w:rsidRPr="005E4E24">
        <w:rPr>
          <w:rFonts w:cs="DaxOT-Medium"/>
        </w:rPr>
        <w:t xml:space="preserve">larger proportion of Wyndham year 3 and 5 students </w:t>
      </w:r>
      <w:r w:rsidRPr="005E4E24">
        <w:rPr>
          <w:rFonts w:cs="DaxOT-Light"/>
        </w:rPr>
        <w:t xml:space="preserve">who were </w:t>
      </w:r>
      <w:r w:rsidRPr="005E4E24">
        <w:rPr>
          <w:rFonts w:cs="DaxOT-Medium"/>
        </w:rPr>
        <w:t xml:space="preserve">not </w:t>
      </w:r>
      <w:r w:rsidRPr="005E4E24">
        <w:rPr>
          <w:rFonts w:cs="DaxOT-Light"/>
        </w:rPr>
        <w:t xml:space="preserve">reaching the national benchmarks for </w:t>
      </w:r>
      <w:r w:rsidRPr="005E4E24">
        <w:rPr>
          <w:rFonts w:cs="DaxOT-Medium"/>
        </w:rPr>
        <w:t xml:space="preserve">literacy and numeracy </w:t>
      </w:r>
      <w:r w:rsidRPr="005E4E24">
        <w:rPr>
          <w:rFonts w:cs="DaxOT-Light"/>
        </w:rPr>
        <w:t xml:space="preserve">in 2015. </w:t>
      </w:r>
    </w:p>
    <w:p w:rsidR="005E4E24" w:rsidRPr="005E4E24" w:rsidRDefault="005E4E24" w:rsidP="005E4E24">
      <w:pPr>
        <w:pStyle w:val="ListParagraph"/>
        <w:numPr>
          <w:ilvl w:val="0"/>
          <w:numId w:val="1"/>
        </w:numPr>
        <w:spacing w:after="0"/>
        <w:rPr>
          <w:rFonts w:cs="DaxOT"/>
        </w:rPr>
      </w:pPr>
      <w:r w:rsidRPr="005E4E24">
        <w:t xml:space="preserve">Overall, there are </w:t>
      </w:r>
      <w:r w:rsidRPr="005E4E24">
        <w:rPr>
          <w:rFonts w:cs="DaxOT"/>
        </w:rPr>
        <w:t xml:space="preserve">higher proportions of developmentally vulnerable children in Wyndham compared to Victoria and Australia, across all five </w:t>
      </w:r>
      <w:r w:rsidRPr="005E4E24">
        <w:rPr>
          <w:rFonts w:cs="DaxOT-Light"/>
        </w:rPr>
        <w:t xml:space="preserve">developmental </w:t>
      </w:r>
      <w:r w:rsidRPr="005E4E24">
        <w:rPr>
          <w:rFonts w:cs="DaxOT"/>
        </w:rPr>
        <w:t xml:space="preserve">domains. </w:t>
      </w:r>
    </w:p>
    <w:p w:rsidR="005E4E24" w:rsidRPr="005E4E24" w:rsidRDefault="005E4E24" w:rsidP="005E4E24">
      <w:pPr>
        <w:pStyle w:val="ListParagraph"/>
        <w:numPr>
          <w:ilvl w:val="0"/>
          <w:numId w:val="1"/>
        </w:numPr>
        <w:autoSpaceDE w:val="0"/>
        <w:autoSpaceDN w:val="0"/>
        <w:adjustRightInd w:val="0"/>
        <w:spacing w:after="0" w:line="240" w:lineRule="auto"/>
      </w:pPr>
      <w:r w:rsidRPr="005E4E24">
        <w:t xml:space="preserve">Between 2011 </w:t>
      </w:r>
      <w:r w:rsidR="00215B85">
        <w:t>and</w:t>
      </w:r>
      <w:r w:rsidRPr="005E4E24">
        <w:t xml:space="preserve"> 2015, an average of </w:t>
      </w:r>
      <w:r w:rsidRPr="005E4E24">
        <w:rPr>
          <w:rFonts w:cs="DaxOT-Medium"/>
        </w:rPr>
        <w:t>5</w:t>
      </w:r>
      <w:r w:rsidRPr="005E4E24">
        <w:rPr>
          <w:rFonts w:cs="DaxOT"/>
        </w:rPr>
        <w:t>% of children in Wyndham experienced emotional or behavioural difficulties, similar to the Victoria</w:t>
      </w:r>
      <w:r w:rsidRPr="005E4E24">
        <w:rPr>
          <w:rFonts w:cs="DaxOT-Light"/>
        </w:rPr>
        <w:t xml:space="preserve">n </w:t>
      </w:r>
      <w:r w:rsidRPr="005E4E24">
        <w:rPr>
          <w:rFonts w:cs="DaxOT"/>
        </w:rPr>
        <w:t>average (4%).</w:t>
      </w:r>
    </w:p>
    <w:p w:rsidR="005E4E24" w:rsidRPr="005E4E24" w:rsidRDefault="005E4E24" w:rsidP="005E4E24">
      <w:pPr>
        <w:pStyle w:val="ListParagraph"/>
        <w:numPr>
          <w:ilvl w:val="0"/>
          <w:numId w:val="1"/>
        </w:numPr>
        <w:spacing w:after="0"/>
        <w:rPr>
          <w:rFonts w:cs="DaxOT"/>
        </w:rPr>
      </w:pPr>
      <w:r w:rsidRPr="005E4E24">
        <w:t xml:space="preserve">In 2015, there was a larger proportion of Year 5 and 6 students from </w:t>
      </w:r>
      <w:r w:rsidRPr="005E4E24">
        <w:rPr>
          <w:rFonts w:cs="DaxOT"/>
        </w:rPr>
        <w:t>Wyndham (</w:t>
      </w:r>
      <w:r w:rsidRPr="005E4E24">
        <w:rPr>
          <w:rFonts w:cs="DaxOT-Medium"/>
        </w:rPr>
        <w:t>20</w:t>
      </w:r>
      <w:r w:rsidRPr="005E4E24">
        <w:rPr>
          <w:rFonts w:cs="DaxOT"/>
        </w:rPr>
        <w:t>%) who had been bullied, compared to Victoria (15%), while there were more Year 7 to 9 students in Victoria (18%) bullied compared to Wyndham students (1</w:t>
      </w:r>
      <w:r w:rsidRPr="005E4E24">
        <w:rPr>
          <w:rFonts w:cs="DaxOT-Medium"/>
        </w:rPr>
        <w:t>7</w:t>
      </w:r>
      <w:r w:rsidRPr="005E4E24">
        <w:rPr>
          <w:rFonts w:cs="DaxOT"/>
        </w:rPr>
        <w:t xml:space="preserve">%). </w:t>
      </w:r>
    </w:p>
    <w:p w:rsidR="005E4E24" w:rsidRPr="005E4E24" w:rsidRDefault="005E4E24" w:rsidP="005E4E24">
      <w:pPr>
        <w:pStyle w:val="ListParagraph"/>
        <w:spacing w:after="0"/>
        <w:rPr>
          <w:rFonts w:cs="DaxOT"/>
        </w:rPr>
      </w:pPr>
    </w:p>
    <w:p w:rsidR="00E2228B" w:rsidRPr="00BA24E2" w:rsidRDefault="00F9704F" w:rsidP="00BA24E2">
      <w:pPr>
        <w:pStyle w:val="Heading1"/>
      </w:pPr>
      <w:r>
        <w:t>Y</w:t>
      </w:r>
      <w:r w:rsidR="00E2228B" w:rsidRPr="00BA24E2">
        <w:t>outh</w:t>
      </w:r>
    </w:p>
    <w:p w:rsidR="001954DD" w:rsidRPr="001954DD" w:rsidRDefault="001954DD" w:rsidP="001954DD">
      <w:pPr>
        <w:pStyle w:val="Default"/>
        <w:rPr>
          <w:rFonts w:asciiTheme="minorHAnsi" w:hAnsiTheme="minorHAnsi" w:cs="DaxOT"/>
          <w:sz w:val="22"/>
          <w:szCs w:val="22"/>
        </w:rPr>
      </w:pPr>
      <w:r w:rsidRPr="001954DD">
        <w:rPr>
          <w:rFonts w:asciiTheme="minorHAnsi" w:hAnsiTheme="minorHAnsi" w:cstheme="minorBidi"/>
          <w:color w:val="auto"/>
          <w:sz w:val="22"/>
          <w:szCs w:val="22"/>
        </w:rPr>
        <w:t xml:space="preserve">Youth is a crucial period for establishing positive health and social behaviours. It is a time when young people are undergoing rapid emotional, physical and intellectual changes, and when they transition from childhood to adolescence to independent adulthood. Similarly to young children, significantly growth is expected across the 12-24 year age range. </w:t>
      </w:r>
    </w:p>
    <w:p w:rsidR="001954DD" w:rsidRPr="001954DD" w:rsidRDefault="001954DD" w:rsidP="001954DD">
      <w:pPr>
        <w:autoSpaceDE w:val="0"/>
        <w:autoSpaceDN w:val="0"/>
        <w:adjustRightInd w:val="0"/>
        <w:spacing w:after="0" w:line="240" w:lineRule="auto"/>
        <w:rPr>
          <w:rFonts w:ascii="DaxOT" w:hAnsi="DaxOT"/>
          <w:sz w:val="24"/>
          <w:szCs w:val="24"/>
        </w:rPr>
      </w:pP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From 2016 to 2036 Wyndham’s population of </w:t>
      </w:r>
      <w:r w:rsidRPr="001954DD">
        <w:rPr>
          <w:rFonts w:asciiTheme="minorHAnsi" w:hAnsiTheme="minorHAnsi" w:cs="DaxOT"/>
          <w:color w:val="auto"/>
          <w:sz w:val="22"/>
          <w:szCs w:val="22"/>
        </w:rPr>
        <w:t>12-24 year olds is forecast to almost double in size (94%) or 34,141 additional youth</w:t>
      </w:r>
      <w:r w:rsidRPr="001954DD">
        <w:rPr>
          <w:rFonts w:asciiTheme="minorHAnsi" w:hAnsiTheme="minorHAnsi" w:cs="DaxOT-Light"/>
          <w:color w:val="auto"/>
          <w:sz w:val="22"/>
          <w:szCs w:val="22"/>
        </w:rPr>
        <w:t>s</w:t>
      </w:r>
      <w:r w:rsidRPr="001954DD">
        <w:rPr>
          <w:rFonts w:asciiTheme="minorHAnsi" w:hAnsiTheme="minorHAnsi" w:cs="DaxOT"/>
          <w:color w:val="auto"/>
          <w:sz w:val="22"/>
          <w:szCs w:val="22"/>
        </w:rPr>
        <w:t>.</w:t>
      </w: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In 2011, Wyndham recorded some of the lowest high school </w:t>
      </w:r>
      <w:r w:rsidR="005771EB">
        <w:rPr>
          <w:rFonts w:asciiTheme="minorHAnsi" w:hAnsiTheme="minorHAnsi" w:cstheme="minorBidi"/>
          <w:color w:val="auto"/>
          <w:sz w:val="22"/>
          <w:szCs w:val="22"/>
        </w:rPr>
        <w:t>retention rates across Victoria</w:t>
      </w:r>
      <w:r w:rsidRPr="001954DD">
        <w:rPr>
          <w:rFonts w:asciiTheme="minorHAnsi" w:hAnsiTheme="minorHAnsi" w:cstheme="minorBidi"/>
          <w:color w:val="auto"/>
          <w:sz w:val="22"/>
          <w:szCs w:val="22"/>
        </w:rPr>
        <w:t xml:space="preserve"> </w:t>
      </w:r>
      <w:r w:rsidRPr="001954DD">
        <w:rPr>
          <w:rFonts w:asciiTheme="minorHAnsi" w:hAnsiTheme="minorHAnsi" w:cs="DaxOT"/>
          <w:color w:val="auto"/>
          <w:sz w:val="22"/>
          <w:szCs w:val="22"/>
        </w:rPr>
        <w:t>(77%).</w:t>
      </w: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Compared to students across Victoria, there were a </w:t>
      </w:r>
      <w:r w:rsidRPr="001954DD">
        <w:rPr>
          <w:rFonts w:asciiTheme="minorHAnsi" w:hAnsiTheme="minorHAnsi" w:cs="DaxOT-Regular"/>
          <w:color w:val="auto"/>
          <w:sz w:val="22"/>
          <w:szCs w:val="22"/>
        </w:rPr>
        <w:t xml:space="preserve">larger proportion </w:t>
      </w:r>
      <w:r w:rsidRPr="001954DD">
        <w:rPr>
          <w:rFonts w:asciiTheme="minorHAnsi" w:hAnsiTheme="minorHAnsi" w:cs="DaxOT-Light"/>
          <w:color w:val="auto"/>
          <w:sz w:val="22"/>
          <w:szCs w:val="22"/>
        </w:rPr>
        <w:t xml:space="preserve">of Wyndham </w:t>
      </w:r>
      <w:r w:rsidRPr="001954DD">
        <w:rPr>
          <w:rFonts w:asciiTheme="minorHAnsi" w:hAnsiTheme="minorHAnsi" w:cs="DaxOT-Regular"/>
          <w:color w:val="auto"/>
          <w:sz w:val="22"/>
          <w:szCs w:val="22"/>
        </w:rPr>
        <w:t xml:space="preserve">year 7 and 9 </w:t>
      </w:r>
      <w:r w:rsidRPr="001954DD">
        <w:rPr>
          <w:rFonts w:asciiTheme="minorHAnsi" w:hAnsiTheme="minorHAnsi" w:cs="DaxOT-Light"/>
          <w:color w:val="auto"/>
          <w:sz w:val="22"/>
          <w:szCs w:val="22"/>
        </w:rPr>
        <w:t xml:space="preserve">students who were </w:t>
      </w:r>
      <w:r w:rsidRPr="001954DD">
        <w:rPr>
          <w:rFonts w:asciiTheme="minorHAnsi" w:hAnsiTheme="minorHAnsi" w:cs="DaxOT-Regular"/>
          <w:color w:val="auto"/>
          <w:sz w:val="22"/>
          <w:szCs w:val="22"/>
        </w:rPr>
        <w:t xml:space="preserve">not </w:t>
      </w:r>
      <w:r w:rsidRPr="001954DD">
        <w:rPr>
          <w:rFonts w:asciiTheme="minorHAnsi" w:hAnsiTheme="minorHAnsi" w:cs="DaxOT-Light"/>
          <w:color w:val="auto"/>
          <w:sz w:val="22"/>
          <w:szCs w:val="22"/>
        </w:rPr>
        <w:t>reaching the national benchmarks for literacy and numeracy in 2015.</w:t>
      </w: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Year 5-6 students felt more </w:t>
      </w:r>
      <w:r w:rsidRPr="001954DD">
        <w:rPr>
          <w:rFonts w:asciiTheme="minorHAnsi" w:hAnsiTheme="minorHAnsi" w:cs="DaxOT"/>
          <w:color w:val="auto"/>
          <w:sz w:val="22"/>
          <w:szCs w:val="22"/>
        </w:rPr>
        <w:t>connected to their school (7</w:t>
      </w:r>
      <w:r w:rsidRPr="001954DD">
        <w:rPr>
          <w:rFonts w:asciiTheme="minorHAnsi" w:hAnsiTheme="minorHAnsi" w:cs="DaxOT-Regular"/>
          <w:color w:val="auto"/>
          <w:sz w:val="22"/>
          <w:szCs w:val="22"/>
        </w:rPr>
        <w:t>7</w:t>
      </w:r>
      <w:r w:rsidRPr="001954DD">
        <w:rPr>
          <w:rFonts w:asciiTheme="minorHAnsi" w:hAnsiTheme="minorHAnsi" w:cs="DaxOT"/>
          <w:color w:val="auto"/>
          <w:sz w:val="22"/>
          <w:szCs w:val="22"/>
        </w:rPr>
        <w:t>% average) than Year 7-9 students (</w:t>
      </w:r>
      <w:r w:rsidRPr="001954DD">
        <w:rPr>
          <w:rFonts w:asciiTheme="minorHAnsi" w:hAnsiTheme="minorHAnsi" w:cs="DaxOT-Regular"/>
          <w:color w:val="auto"/>
          <w:sz w:val="22"/>
          <w:szCs w:val="22"/>
        </w:rPr>
        <w:t>60</w:t>
      </w:r>
      <w:r w:rsidRPr="001954DD">
        <w:rPr>
          <w:rFonts w:asciiTheme="minorHAnsi" w:hAnsiTheme="minorHAnsi" w:cs="DaxOT"/>
          <w:color w:val="auto"/>
          <w:sz w:val="22"/>
          <w:szCs w:val="22"/>
        </w:rPr>
        <w:t>%) in Wyndham.</w:t>
      </w: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A significantly smaller proportion of 20-24 year olds in Wyndham had a year 12 or higher qualification </w:t>
      </w:r>
      <w:r w:rsidRPr="001954DD">
        <w:rPr>
          <w:rFonts w:asciiTheme="minorHAnsi" w:hAnsiTheme="minorHAnsi" w:cs="DaxOT"/>
          <w:color w:val="auto"/>
          <w:sz w:val="22"/>
          <w:szCs w:val="22"/>
        </w:rPr>
        <w:t xml:space="preserve">(82%) compared to those in the </w:t>
      </w:r>
      <w:r w:rsidRPr="001954DD">
        <w:rPr>
          <w:rFonts w:asciiTheme="minorHAnsi" w:hAnsiTheme="minorHAnsi" w:cs="DaxOT-Regular"/>
          <w:color w:val="auto"/>
          <w:sz w:val="22"/>
          <w:szCs w:val="22"/>
        </w:rPr>
        <w:t xml:space="preserve">North and </w:t>
      </w:r>
      <w:r w:rsidRPr="001954DD">
        <w:rPr>
          <w:rFonts w:asciiTheme="minorHAnsi" w:hAnsiTheme="minorHAnsi" w:cs="DaxOT"/>
          <w:color w:val="auto"/>
          <w:sz w:val="22"/>
          <w:szCs w:val="22"/>
        </w:rPr>
        <w:t>West Metro area (89%), and Victoria (87%).</w:t>
      </w: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In 2011, almost </w:t>
      </w:r>
      <w:r w:rsidRPr="001954DD">
        <w:rPr>
          <w:rFonts w:asciiTheme="minorHAnsi" w:hAnsiTheme="minorHAnsi" w:cs="DaxOT"/>
          <w:color w:val="auto"/>
          <w:sz w:val="22"/>
          <w:szCs w:val="22"/>
        </w:rPr>
        <w:t xml:space="preserve">20% of </w:t>
      </w:r>
      <w:r w:rsidRPr="001954DD">
        <w:rPr>
          <w:rFonts w:asciiTheme="minorHAnsi" w:hAnsiTheme="minorHAnsi" w:cs="DaxOT-Light"/>
          <w:color w:val="auto"/>
          <w:sz w:val="22"/>
          <w:szCs w:val="22"/>
        </w:rPr>
        <w:t xml:space="preserve">15-19 year olds from </w:t>
      </w:r>
      <w:r w:rsidRPr="001954DD">
        <w:rPr>
          <w:rFonts w:asciiTheme="minorHAnsi" w:hAnsiTheme="minorHAnsi" w:cs="DaxOT"/>
          <w:color w:val="auto"/>
          <w:sz w:val="22"/>
          <w:szCs w:val="22"/>
        </w:rPr>
        <w:t xml:space="preserve">Wyndham </w:t>
      </w:r>
      <w:r w:rsidRPr="001954DD">
        <w:rPr>
          <w:rFonts w:asciiTheme="minorHAnsi" w:hAnsiTheme="minorHAnsi" w:cs="DaxOT-Light"/>
          <w:color w:val="auto"/>
          <w:sz w:val="22"/>
          <w:szCs w:val="22"/>
        </w:rPr>
        <w:t>were not studying, and not employed or looking for work</w:t>
      </w:r>
      <w:r w:rsidRPr="001954DD">
        <w:rPr>
          <w:rFonts w:asciiTheme="minorHAnsi" w:hAnsiTheme="minorHAnsi" w:cs="DaxOT"/>
          <w:color w:val="auto"/>
          <w:sz w:val="22"/>
          <w:szCs w:val="22"/>
        </w:rPr>
        <w:t>.</w:t>
      </w: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Young people in </w:t>
      </w:r>
      <w:r w:rsidRPr="001954DD">
        <w:rPr>
          <w:rFonts w:asciiTheme="minorHAnsi" w:hAnsiTheme="minorHAnsi" w:cs="DaxOT"/>
          <w:color w:val="auto"/>
          <w:sz w:val="22"/>
          <w:szCs w:val="22"/>
        </w:rPr>
        <w:t>Wyndham (12%) are less likely to volunteer than young people Victoria wide (17%).</w:t>
      </w: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There were fewer young offenders in Wyndham compared to Victoria between 2012 and 2015. In 2014/15 the rate of young offenders in </w:t>
      </w:r>
      <w:r w:rsidRPr="001954DD">
        <w:rPr>
          <w:rFonts w:asciiTheme="minorHAnsi" w:hAnsiTheme="minorHAnsi" w:cs="DaxOT"/>
          <w:color w:val="auto"/>
          <w:sz w:val="22"/>
          <w:szCs w:val="22"/>
        </w:rPr>
        <w:t>Wyndham was 15 per 1000 young people, compared to 23 for Victorian young people.</w:t>
      </w:r>
    </w:p>
    <w:p w:rsidR="001954DD" w:rsidRPr="001954DD" w:rsidRDefault="001954DD" w:rsidP="001954DD">
      <w:pPr>
        <w:pStyle w:val="Default"/>
        <w:numPr>
          <w:ilvl w:val="0"/>
          <w:numId w:val="14"/>
        </w:numPr>
        <w:spacing w:line="276" w:lineRule="auto"/>
        <w:rPr>
          <w:rFonts w:asciiTheme="minorHAnsi" w:hAnsiTheme="minorHAnsi"/>
          <w:sz w:val="22"/>
          <w:szCs w:val="22"/>
        </w:rPr>
      </w:pPr>
      <w:r w:rsidRPr="001954DD">
        <w:rPr>
          <w:rFonts w:asciiTheme="minorHAnsi" w:hAnsiTheme="minorHAnsi" w:cstheme="minorBidi"/>
          <w:color w:val="auto"/>
          <w:sz w:val="22"/>
          <w:szCs w:val="22"/>
        </w:rPr>
        <w:t xml:space="preserve">The victim of crime rate for young people in </w:t>
      </w:r>
      <w:r w:rsidRPr="001954DD">
        <w:rPr>
          <w:rFonts w:asciiTheme="minorHAnsi" w:hAnsiTheme="minorHAnsi" w:cs="DaxOT"/>
          <w:color w:val="auto"/>
          <w:sz w:val="22"/>
          <w:szCs w:val="22"/>
        </w:rPr>
        <w:t>Wyndham (5.4 per 1</w:t>
      </w:r>
      <w:r w:rsidRPr="001954DD">
        <w:rPr>
          <w:rFonts w:asciiTheme="minorHAnsi" w:hAnsiTheme="minorHAnsi" w:cs="DaxOT-Medium"/>
          <w:color w:val="auto"/>
          <w:sz w:val="22"/>
          <w:szCs w:val="22"/>
        </w:rPr>
        <w:t>,</w:t>
      </w:r>
      <w:r w:rsidRPr="001954DD">
        <w:rPr>
          <w:rFonts w:asciiTheme="minorHAnsi" w:hAnsiTheme="minorHAnsi" w:cs="DaxOT"/>
          <w:color w:val="auto"/>
          <w:sz w:val="22"/>
          <w:szCs w:val="22"/>
        </w:rPr>
        <w:t>000 young people) was almost half that observed across Victoria (9.6) in 2014/15.</w:t>
      </w:r>
    </w:p>
    <w:p w:rsidR="007D786A" w:rsidRDefault="007D786A" w:rsidP="007D786A">
      <w:pPr>
        <w:spacing w:after="0"/>
      </w:pPr>
    </w:p>
    <w:p w:rsidR="007D786A" w:rsidRDefault="007D786A" w:rsidP="007D786A">
      <w:pPr>
        <w:pStyle w:val="Heading1"/>
      </w:pPr>
      <w:r>
        <w:t>Older Adults</w:t>
      </w:r>
    </w:p>
    <w:p w:rsidR="009E0823" w:rsidRPr="009E0823" w:rsidRDefault="00441B01" w:rsidP="001A2585">
      <w:r w:rsidRPr="009E0823">
        <w:t xml:space="preserve">As in most developed countries, Australia’s population is ageing. Understanding the </w:t>
      </w:r>
      <w:r w:rsidRPr="009E0823">
        <w:rPr>
          <w:rFonts w:cs="DaxOT-Light"/>
        </w:rPr>
        <w:t xml:space="preserve">demographic </w:t>
      </w:r>
      <w:r w:rsidRPr="009E0823">
        <w:rPr>
          <w:rFonts w:cs="DaxOT"/>
        </w:rPr>
        <w:t xml:space="preserve">characteristics </w:t>
      </w:r>
      <w:r w:rsidRPr="009E0823">
        <w:rPr>
          <w:rFonts w:cs="DaxOT-Light"/>
        </w:rPr>
        <w:t xml:space="preserve">and needs </w:t>
      </w:r>
      <w:r w:rsidRPr="009E0823">
        <w:rPr>
          <w:rFonts w:cs="DaxOT"/>
        </w:rPr>
        <w:t xml:space="preserve">of older Australians (those aged 65 years and over), is becoming </w:t>
      </w:r>
      <w:r w:rsidRPr="009E0823">
        <w:rPr>
          <w:rFonts w:cs="DaxOT"/>
        </w:rPr>
        <w:lastRenderedPageBreak/>
        <w:t xml:space="preserve">increasingly important. Many older Australians have accumulated assets, such as their own homes and savings, which can be used to support their living into retirement. </w:t>
      </w:r>
      <w:r w:rsidRPr="009E0823">
        <w:rPr>
          <w:rFonts w:cs="DaxOT-Light"/>
        </w:rPr>
        <w:t xml:space="preserve">Despite this, </w:t>
      </w:r>
      <w:r w:rsidRPr="009E0823">
        <w:rPr>
          <w:rFonts w:cs="DaxOT"/>
        </w:rPr>
        <w:t xml:space="preserve">the main source of income for </w:t>
      </w:r>
      <w:r w:rsidRPr="009E0823">
        <w:rPr>
          <w:rFonts w:cs="DaxOT-Light"/>
        </w:rPr>
        <w:t xml:space="preserve">the majority </w:t>
      </w:r>
      <w:r w:rsidRPr="009E0823">
        <w:rPr>
          <w:rFonts w:cs="DaxOT"/>
        </w:rPr>
        <w:t>(</w:t>
      </w:r>
      <w:r w:rsidRPr="009E0823">
        <w:rPr>
          <w:rFonts w:cs="DaxOT-Light"/>
        </w:rPr>
        <w:t>7</w:t>
      </w:r>
      <w:r w:rsidR="0082281A">
        <w:rPr>
          <w:rFonts w:cs="DaxOT-Light"/>
        </w:rPr>
        <w:t>6</w:t>
      </w:r>
      <w:r w:rsidRPr="009E0823">
        <w:rPr>
          <w:rFonts w:cs="DaxOT"/>
        </w:rPr>
        <w:t xml:space="preserve">%) of </w:t>
      </w:r>
      <w:r w:rsidR="00631E2C">
        <w:rPr>
          <w:rFonts w:cs="DaxOT"/>
        </w:rPr>
        <w:t>Wyndham residents</w:t>
      </w:r>
      <w:r w:rsidRPr="009E0823">
        <w:rPr>
          <w:rFonts w:cs="DaxOT"/>
        </w:rPr>
        <w:t xml:space="preserve"> aged 65 years and over was a</w:t>
      </w:r>
      <w:r w:rsidRPr="009E0823">
        <w:rPr>
          <w:rFonts w:cs="DaxOT-Light"/>
        </w:rPr>
        <w:t xml:space="preserve">n aged </w:t>
      </w:r>
      <w:r w:rsidRPr="009E0823">
        <w:rPr>
          <w:rFonts w:cs="DaxOT"/>
        </w:rPr>
        <w:t xml:space="preserve">pension. </w:t>
      </w:r>
    </w:p>
    <w:p w:rsidR="009E0823" w:rsidRPr="009E0823" w:rsidRDefault="009E0823" w:rsidP="009E0823">
      <w:pPr>
        <w:pStyle w:val="Heading1"/>
        <w:numPr>
          <w:ilvl w:val="0"/>
          <w:numId w:val="15"/>
        </w:numPr>
        <w:autoSpaceDE w:val="0"/>
        <w:autoSpaceDN w:val="0"/>
        <w:adjustRightInd w:val="0"/>
        <w:spacing w:after="0" w:line="240" w:lineRule="auto"/>
        <w:rPr>
          <w:rStyle w:val="A4"/>
          <w:rFonts w:asciiTheme="minorHAnsi" w:hAnsiTheme="minorHAnsi" w:cstheme="minorBidi"/>
          <w:color w:val="002060"/>
        </w:rPr>
      </w:pPr>
      <w:r w:rsidRPr="009E0823">
        <w:rPr>
          <w:rStyle w:val="A4"/>
          <w:rFonts w:asciiTheme="minorHAnsi" w:hAnsiTheme="minorHAnsi"/>
          <w:color w:val="auto"/>
        </w:rPr>
        <w:t xml:space="preserve">Couples without children are the most common household type amongst </w:t>
      </w:r>
      <w:r w:rsidRPr="009E0823">
        <w:rPr>
          <w:rStyle w:val="A4"/>
          <w:rFonts w:asciiTheme="minorHAnsi" w:hAnsiTheme="minorHAnsi" w:cs="DaxOT-Light"/>
          <w:color w:val="auto"/>
        </w:rPr>
        <w:t>o</w:t>
      </w:r>
      <w:r w:rsidRPr="009E0823">
        <w:rPr>
          <w:rStyle w:val="A4"/>
          <w:rFonts w:asciiTheme="minorHAnsi" w:hAnsiTheme="minorHAnsi"/>
          <w:color w:val="auto"/>
        </w:rPr>
        <w:t xml:space="preserve">lder </w:t>
      </w:r>
      <w:r w:rsidRPr="009E0823">
        <w:rPr>
          <w:rStyle w:val="A4"/>
          <w:rFonts w:asciiTheme="minorHAnsi" w:hAnsiTheme="minorHAnsi" w:cs="DaxOT-Light"/>
          <w:color w:val="auto"/>
        </w:rPr>
        <w:t>a</w:t>
      </w:r>
      <w:r w:rsidRPr="009E0823">
        <w:rPr>
          <w:rStyle w:val="A4"/>
          <w:rFonts w:asciiTheme="minorHAnsi" w:hAnsiTheme="minorHAnsi"/>
          <w:color w:val="auto"/>
        </w:rPr>
        <w:t xml:space="preserve">dults in Wyndham, with more than one fifth living alone. </w:t>
      </w:r>
      <w:r w:rsidR="0082281A">
        <w:rPr>
          <w:rStyle w:val="A4"/>
          <w:rFonts w:asciiTheme="minorHAnsi" w:hAnsiTheme="minorHAnsi"/>
          <w:color w:val="auto"/>
        </w:rPr>
        <w:t>Despite this, t</w:t>
      </w:r>
      <w:r w:rsidRPr="009E0823">
        <w:rPr>
          <w:rStyle w:val="A4"/>
          <w:rFonts w:asciiTheme="minorHAnsi" w:hAnsiTheme="minorHAnsi"/>
          <w:color w:val="auto"/>
        </w:rPr>
        <w:t>here is a higher proportion of older residents’ living with their adult children in Wyndham (16%) than those in Greater Melbourne (13%).</w:t>
      </w:r>
    </w:p>
    <w:p w:rsidR="009E0823" w:rsidRPr="009E0823" w:rsidRDefault="009E0823" w:rsidP="009E0823">
      <w:pPr>
        <w:pStyle w:val="Heading1"/>
        <w:numPr>
          <w:ilvl w:val="0"/>
          <w:numId w:val="15"/>
        </w:numPr>
        <w:autoSpaceDE w:val="0"/>
        <w:autoSpaceDN w:val="0"/>
        <w:adjustRightInd w:val="0"/>
        <w:spacing w:after="0" w:line="240" w:lineRule="auto"/>
        <w:rPr>
          <w:rFonts w:asciiTheme="minorHAnsi" w:hAnsiTheme="minorHAnsi"/>
          <w:color w:val="auto"/>
          <w:sz w:val="22"/>
          <w:szCs w:val="22"/>
        </w:rPr>
      </w:pPr>
      <w:r w:rsidRPr="009E0823">
        <w:rPr>
          <w:rFonts w:asciiTheme="minorHAnsi" w:hAnsiTheme="minorHAnsi"/>
          <w:color w:val="auto"/>
          <w:sz w:val="22"/>
          <w:szCs w:val="22"/>
        </w:rPr>
        <w:t xml:space="preserve">Older </w:t>
      </w:r>
      <w:r w:rsidRPr="009E0823">
        <w:rPr>
          <w:rFonts w:asciiTheme="minorHAnsi" w:hAnsiTheme="minorHAnsi" w:cs="DaxOT-Medium"/>
          <w:color w:val="auto"/>
          <w:sz w:val="22"/>
          <w:szCs w:val="22"/>
        </w:rPr>
        <w:t>a</w:t>
      </w:r>
      <w:r w:rsidRPr="009E0823">
        <w:rPr>
          <w:rFonts w:asciiTheme="minorHAnsi" w:hAnsiTheme="minorHAnsi" w:cs="DaxOT"/>
          <w:color w:val="auto"/>
          <w:sz w:val="22"/>
          <w:szCs w:val="22"/>
        </w:rPr>
        <w:t>dults are the fastest growing age group in Wyndham, with a projected increase in population of 127% over the next fifteen years.</w:t>
      </w:r>
    </w:p>
    <w:p w:rsidR="009E0823" w:rsidRPr="009E0823" w:rsidRDefault="009E0823" w:rsidP="009E0823">
      <w:pPr>
        <w:pStyle w:val="ListParagraph"/>
        <w:numPr>
          <w:ilvl w:val="0"/>
          <w:numId w:val="15"/>
        </w:numPr>
        <w:autoSpaceDE w:val="0"/>
        <w:autoSpaceDN w:val="0"/>
        <w:adjustRightInd w:val="0"/>
        <w:spacing w:after="0" w:line="240" w:lineRule="auto"/>
      </w:pPr>
      <w:r w:rsidRPr="009E0823">
        <w:t xml:space="preserve">According to the Index of Wellbeing for Older Australians, </w:t>
      </w:r>
      <w:r w:rsidRPr="009E0823">
        <w:rPr>
          <w:rFonts w:cs="DaxOT-Light"/>
        </w:rPr>
        <w:t>o</w:t>
      </w:r>
      <w:r w:rsidRPr="009E0823">
        <w:rPr>
          <w:rFonts w:cs="DaxOT"/>
        </w:rPr>
        <w:t xml:space="preserve">lder </w:t>
      </w:r>
      <w:r w:rsidRPr="009E0823">
        <w:rPr>
          <w:rFonts w:cs="DaxOT-Light"/>
        </w:rPr>
        <w:t>a</w:t>
      </w:r>
      <w:r w:rsidRPr="009E0823">
        <w:rPr>
          <w:rFonts w:cs="DaxOT"/>
        </w:rPr>
        <w:t>dults in Wyndham are at greater risk of poor social connections, financial insecurity and poorer overall wellbeing, with all but one suburb scoring in the lowest two quintiles indicating a low index of wellbeing.</w:t>
      </w:r>
    </w:p>
    <w:p w:rsidR="009E0823" w:rsidRPr="009E0823" w:rsidRDefault="009E0823" w:rsidP="009E0823">
      <w:pPr>
        <w:pStyle w:val="ListParagraph"/>
        <w:numPr>
          <w:ilvl w:val="0"/>
          <w:numId w:val="15"/>
        </w:numPr>
      </w:pPr>
      <w:r w:rsidRPr="009E0823">
        <w:t xml:space="preserve">Like Greater Melbourne, over </w:t>
      </w:r>
      <w:r w:rsidRPr="009E0823">
        <w:rPr>
          <w:rFonts w:cs="DaxOT"/>
        </w:rPr>
        <w:t xml:space="preserve">80% of Wyndham </w:t>
      </w:r>
      <w:r w:rsidRPr="009E0823">
        <w:rPr>
          <w:rFonts w:cs="DaxOT-Light"/>
        </w:rPr>
        <w:t>o</w:t>
      </w:r>
      <w:r w:rsidRPr="009E0823">
        <w:rPr>
          <w:rFonts w:cs="DaxOT"/>
        </w:rPr>
        <w:t xml:space="preserve">lder </w:t>
      </w:r>
      <w:r w:rsidRPr="009E0823">
        <w:rPr>
          <w:rFonts w:cs="DaxOT-Light"/>
        </w:rPr>
        <w:t>a</w:t>
      </w:r>
      <w:r w:rsidRPr="009E0823">
        <w:rPr>
          <w:rFonts w:cs="DaxOT"/>
        </w:rPr>
        <w:t xml:space="preserve">dults are not engaged in the workforce, </w:t>
      </w:r>
      <w:r w:rsidRPr="009E0823">
        <w:rPr>
          <w:rFonts w:cs="DaxOT-Light"/>
        </w:rPr>
        <w:t xml:space="preserve">and </w:t>
      </w:r>
      <w:r w:rsidRPr="009E0823">
        <w:rPr>
          <w:rFonts w:cs="DaxOT"/>
        </w:rPr>
        <w:t xml:space="preserve">only 1% </w:t>
      </w:r>
      <w:proofErr w:type="gramStart"/>
      <w:r w:rsidR="00F7468B">
        <w:rPr>
          <w:rFonts w:cs="DaxOT"/>
        </w:rPr>
        <w:t>are</w:t>
      </w:r>
      <w:proofErr w:type="gramEnd"/>
      <w:r w:rsidR="00F7468B">
        <w:rPr>
          <w:rFonts w:cs="DaxOT"/>
        </w:rPr>
        <w:t xml:space="preserve"> </w:t>
      </w:r>
      <w:r w:rsidRPr="009E0823">
        <w:rPr>
          <w:rFonts w:cs="DaxOT"/>
        </w:rPr>
        <w:t>actively seeking employment.</w:t>
      </w:r>
    </w:p>
    <w:p w:rsidR="009E0823" w:rsidRPr="009E0823" w:rsidRDefault="009E0823" w:rsidP="009E0823">
      <w:pPr>
        <w:pStyle w:val="ListParagraph"/>
        <w:numPr>
          <w:ilvl w:val="0"/>
          <w:numId w:val="15"/>
        </w:numPr>
      </w:pPr>
      <w:r w:rsidRPr="009E0823">
        <w:t xml:space="preserve">The proportion of </w:t>
      </w:r>
      <w:r w:rsidRPr="009E0823">
        <w:rPr>
          <w:rFonts w:cs="DaxOT-Light"/>
        </w:rPr>
        <w:t>o</w:t>
      </w:r>
      <w:r w:rsidRPr="009E0823">
        <w:rPr>
          <w:rFonts w:cs="DaxOT"/>
        </w:rPr>
        <w:t xml:space="preserve">lder </w:t>
      </w:r>
      <w:r w:rsidRPr="009E0823">
        <w:rPr>
          <w:rFonts w:cs="DaxOT-Light"/>
        </w:rPr>
        <w:t>a</w:t>
      </w:r>
      <w:r w:rsidRPr="009E0823">
        <w:rPr>
          <w:rFonts w:cs="DaxOT"/>
        </w:rPr>
        <w:t>dults with no or low weekly income is larger in Wyndham (5%) compared to Greater Melbourne (4%).</w:t>
      </w:r>
    </w:p>
    <w:p w:rsidR="009E0823" w:rsidRPr="009E0823" w:rsidRDefault="009E0823" w:rsidP="009E0823">
      <w:pPr>
        <w:pStyle w:val="ListParagraph"/>
        <w:numPr>
          <w:ilvl w:val="0"/>
          <w:numId w:val="15"/>
        </w:numPr>
      </w:pPr>
      <w:r w:rsidRPr="009E0823">
        <w:t xml:space="preserve">There are a larger proportion of </w:t>
      </w:r>
      <w:r w:rsidRPr="009E0823">
        <w:rPr>
          <w:rFonts w:cs="DaxOT-Light"/>
        </w:rPr>
        <w:t>o</w:t>
      </w:r>
      <w:r w:rsidRPr="009E0823">
        <w:rPr>
          <w:rFonts w:cs="DaxOT"/>
        </w:rPr>
        <w:t xml:space="preserve">lder </w:t>
      </w:r>
      <w:r w:rsidRPr="009E0823">
        <w:rPr>
          <w:rFonts w:cs="DaxOT-Light"/>
        </w:rPr>
        <w:t>a</w:t>
      </w:r>
      <w:r w:rsidRPr="009E0823">
        <w:rPr>
          <w:rFonts w:cs="DaxOT"/>
        </w:rPr>
        <w:t xml:space="preserve">dults receiving aged pensions in Wyndham (74%) compared to Victoria (67%) and Australia </w:t>
      </w:r>
      <w:r w:rsidRPr="009E0823">
        <w:rPr>
          <w:rFonts w:cs="DaxOT-Medium"/>
        </w:rPr>
        <w:t>(</w:t>
      </w:r>
      <w:r w:rsidRPr="009E0823">
        <w:rPr>
          <w:rFonts w:cs="DaxOT"/>
        </w:rPr>
        <w:t>62%).</w:t>
      </w:r>
    </w:p>
    <w:p w:rsidR="009E0823" w:rsidRPr="009E0823" w:rsidRDefault="009E0823" w:rsidP="009E0823">
      <w:pPr>
        <w:pStyle w:val="ListParagraph"/>
        <w:numPr>
          <w:ilvl w:val="0"/>
          <w:numId w:val="15"/>
        </w:numPr>
      </w:pPr>
      <w:r w:rsidRPr="009E0823">
        <w:t xml:space="preserve">The proportion of </w:t>
      </w:r>
      <w:r w:rsidRPr="009E0823">
        <w:rPr>
          <w:rFonts w:cs="DaxOT-Light"/>
        </w:rPr>
        <w:t>o</w:t>
      </w:r>
      <w:r w:rsidRPr="009E0823">
        <w:rPr>
          <w:rFonts w:cs="DaxOT"/>
        </w:rPr>
        <w:t xml:space="preserve">lder </w:t>
      </w:r>
      <w:r w:rsidRPr="009E0823">
        <w:rPr>
          <w:rFonts w:cs="DaxOT-Light"/>
        </w:rPr>
        <w:t>a</w:t>
      </w:r>
      <w:r w:rsidRPr="009E0823">
        <w:rPr>
          <w:rFonts w:cs="DaxOT"/>
        </w:rPr>
        <w:t>dults who require assistance with core activities is the same in Wyndham and Greater Melbourne (20%).</w:t>
      </w:r>
    </w:p>
    <w:p w:rsidR="009E0823" w:rsidRPr="009E0823" w:rsidRDefault="009E0823" w:rsidP="009E0823">
      <w:pPr>
        <w:pStyle w:val="ListParagraph"/>
        <w:numPr>
          <w:ilvl w:val="0"/>
          <w:numId w:val="15"/>
        </w:numPr>
      </w:pPr>
      <w:r w:rsidRPr="009E0823">
        <w:t xml:space="preserve">Wyndham </w:t>
      </w:r>
      <w:r w:rsidRPr="009E0823">
        <w:rPr>
          <w:rFonts w:cs="DaxOT-Light"/>
        </w:rPr>
        <w:t xml:space="preserve">residents over 65 years of age </w:t>
      </w:r>
      <w:r w:rsidRPr="009E0823">
        <w:rPr>
          <w:rFonts w:cs="DaxOT"/>
        </w:rPr>
        <w:t>are slightly less likely to volunteer (11%), compared those in Greater Melbourne (14%).</w:t>
      </w:r>
    </w:p>
    <w:p w:rsidR="009E0823" w:rsidRPr="009E0823" w:rsidRDefault="009E0823" w:rsidP="009E0823">
      <w:pPr>
        <w:pStyle w:val="ListParagraph"/>
        <w:numPr>
          <w:ilvl w:val="0"/>
          <w:numId w:val="15"/>
        </w:numPr>
      </w:pPr>
      <w:r w:rsidRPr="009E0823">
        <w:t xml:space="preserve">There are slightly </w:t>
      </w:r>
      <w:proofErr w:type="gramStart"/>
      <w:r w:rsidRPr="009E0823">
        <w:t xml:space="preserve">more </w:t>
      </w:r>
      <w:r w:rsidRPr="009E0823">
        <w:rPr>
          <w:rFonts w:cs="DaxOT-Light"/>
        </w:rPr>
        <w:t>o</w:t>
      </w:r>
      <w:r w:rsidRPr="009E0823">
        <w:rPr>
          <w:rFonts w:cs="DaxOT"/>
        </w:rPr>
        <w:t>lder</w:t>
      </w:r>
      <w:proofErr w:type="gramEnd"/>
      <w:r w:rsidRPr="009E0823">
        <w:rPr>
          <w:rFonts w:cs="DaxOT"/>
        </w:rPr>
        <w:t xml:space="preserve"> </w:t>
      </w:r>
      <w:r w:rsidRPr="009E0823">
        <w:rPr>
          <w:rFonts w:cs="DaxOT-Light"/>
        </w:rPr>
        <w:t>a</w:t>
      </w:r>
      <w:r w:rsidRPr="009E0823">
        <w:rPr>
          <w:rFonts w:cs="DaxOT"/>
        </w:rPr>
        <w:t>dult carers in Greater Melbourne (11%) than Wyndham (10%).</w:t>
      </w:r>
    </w:p>
    <w:p w:rsidR="009E0823" w:rsidRPr="009E0823" w:rsidRDefault="009E0823" w:rsidP="009E0823">
      <w:pPr>
        <w:pStyle w:val="ListParagraph"/>
        <w:numPr>
          <w:ilvl w:val="0"/>
          <w:numId w:val="15"/>
        </w:numPr>
      </w:pPr>
      <w:r w:rsidRPr="009E0823">
        <w:t xml:space="preserve">In Wyndham, </w:t>
      </w:r>
      <w:r w:rsidRPr="009E0823">
        <w:rPr>
          <w:rFonts w:cs="DaxOT"/>
        </w:rPr>
        <w:t xml:space="preserve">17% of </w:t>
      </w:r>
      <w:r w:rsidRPr="009E0823">
        <w:rPr>
          <w:rFonts w:cs="DaxOT-Light"/>
        </w:rPr>
        <w:t>o</w:t>
      </w:r>
      <w:r w:rsidRPr="009E0823">
        <w:rPr>
          <w:rFonts w:cs="DaxOT"/>
        </w:rPr>
        <w:t xml:space="preserve">lder </w:t>
      </w:r>
      <w:r w:rsidRPr="009E0823">
        <w:rPr>
          <w:rFonts w:cs="DaxOT-Light"/>
        </w:rPr>
        <w:t>a</w:t>
      </w:r>
      <w:r w:rsidRPr="009E0823">
        <w:rPr>
          <w:rFonts w:cs="DaxOT"/>
        </w:rPr>
        <w:t xml:space="preserve">dults are </w:t>
      </w:r>
      <w:r w:rsidRPr="009E0823">
        <w:rPr>
          <w:rFonts w:cs="DaxOT-Light"/>
        </w:rPr>
        <w:t>multil</w:t>
      </w:r>
      <w:r w:rsidRPr="009E0823">
        <w:rPr>
          <w:rFonts w:cs="DaxOT"/>
        </w:rPr>
        <w:t>ingual, and can speak another language and English very well or well.</w:t>
      </w:r>
    </w:p>
    <w:p w:rsidR="00E2228B" w:rsidRPr="00BA24E2" w:rsidRDefault="00E2228B" w:rsidP="00BA24E2">
      <w:pPr>
        <w:pStyle w:val="Heading1"/>
      </w:pPr>
      <w:r w:rsidRPr="00BA24E2">
        <w:t>Gender</w:t>
      </w:r>
    </w:p>
    <w:p w:rsidR="00E2228B" w:rsidRDefault="001A2585" w:rsidP="001A2585">
      <w:pPr>
        <w:spacing w:after="0"/>
        <w:rPr>
          <w:rFonts w:cs="DaxOT"/>
        </w:rPr>
      </w:pPr>
      <w:r w:rsidRPr="001A2585">
        <w:t>Gender refers to the socially constructed characteristics of women and men. Gender is relational</w:t>
      </w:r>
      <w:r w:rsidRPr="001A2585">
        <w:rPr>
          <w:rFonts w:cs="DaxOT-Light"/>
        </w:rPr>
        <w:t>; g</w:t>
      </w:r>
      <w:r w:rsidRPr="001A2585">
        <w:rPr>
          <w:rFonts w:cs="DaxOT"/>
        </w:rPr>
        <w:t>ender roles and characteristics do not exist in isolation, but are defined in relation to one another and through the relationships between women and men, boys and girls. Gender norms, roles and relations can influence health outcomes and affect the mental, physical and social health and wellbeing of individuals. Disaggregating data by gender can identify sex and gender-based differences in health risks and opportunities to design appropriate health interventions.</w:t>
      </w:r>
    </w:p>
    <w:p w:rsidR="001A2585" w:rsidRPr="001A2585" w:rsidRDefault="001A2585" w:rsidP="001A2585">
      <w:pPr>
        <w:spacing w:after="0"/>
        <w:rPr>
          <w:rFonts w:cs="DaxOT"/>
        </w:rPr>
      </w:pPr>
    </w:p>
    <w:p w:rsidR="001A2585" w:rsidRPr="001A2585" w:rsidRDefault="001A2585" w:rsidP="001A2585">
      <w:pPr>
        <w:pStyle w:val="ListParagraph"/>
        <w:numPr>
          <w:ilvl w:val="0"/>
          <w:numId w:val="17"/>
        </w:numPr>
        <w:spacing w:after="0"/>
        <w:rPr>
          <w:rFonts w:cs="DaxOT"/>
        </w:rPr>
      </w:pPr>
      <w:r w:rsidRPr="001A2585">
        <w:t xml:space="preserve">More than </w:t>
      </w:r>
      <w:r w:rsidRPr="001A2585">
        <w:rPr>
          <w:rFonts w:cs="DaxOT"/>
        </w:rPr>
        <w:t>half of males and 30% of females from Wyndham drink enough alcohol per week to put them at short-term risk of alcohol-related harm.</w:t>
      </w:r>
    </w:p>
    <w:p w:rsidR="001A2585" w:rsidRPr="001A2585" w:rsidRDefault="001A2585" w:rsidP="001A2585">
      <w:pPr>
        <w:pStyle w:val="ListParagraph"/>
        <w:numPr>
          <w:ilvl w:val="0"/>
          <w:numId w:val="17"/>
        </w:numPr>
        <w:spacing w:after="0"/>
        <w:rPr>
          <w:rFonts w:cs="DaxOT"/>
        </w:rPr>
      </w:pPr>
      <w:r w:rsidRPr="001A2585">
        <w:t xml:space="preserve">Females who live in Wyndham have a </w:t>
      </w:r>
      <w:r w:rsidRPr="001A2585">
        <w:rPr>
          <w:rFonts w:cs="DaxOT"/>
        </w:rPr>
        <w:t>higher lifetime prevalence of depression and anxiety compared to Wyndham males.</w:t>
      </w:r>
    </w:p>
    <w:p w:rsidR="001A2585" w:rsidRPr="001A2585" w:rsidRDefault="001A2585" w:rsidP="001A2585">
      <w:pPr>
        <w:pStyle w:val="ListParagraph"/>
        <w:numPr>
          <w:ilvl w:val="0"/>
          <w:numId w:val="17"/>
        </w:numPr>
        <w:spacing w:after="0"/>
        <w:rPr>
          <w:rFonts w:cs="DaxOT"/>
        </w:rPr>
      </w:pPr>
      <w:r w:rsidRPr="001A2585">
        <w:lastRenderedPageBreak/>
        <w:t xml:space="preserve">The </w:t>
      </w:r>
      <w:r w:rsidRPr="001A2585">
        <w:rPr>
          <w:rFonts w:cs="DaxOT"/>
        </w:rPr>
        <w:t>majority of males in Wyndham were employed in manual labour industries, including manufacturing, construction and transport, postal and warehousing</w:t>
      </w:r>
      <w:r w:rsidRPr="001A2585">
        <w:rPr>
          <w:rFonts w:cs="DaxOT-Light"/>
        </w:rPr>
        <w:t xml:space="preserve">. </w:t>
      </w:r>
      <w:r w:rsidRPr="001A2585">
        <w:rPr>
          <w:rFonts w:cs="DaxOT-Medium"/>
        </w:rPr>
        <w:t>F</w:t>
      </w:r>
      <w:r w:rsidRPr="001A2585">
        <w:rPr>
          <w:rFonts w:cs="DaxOT"/>
        </w:rPr>
        <w:t xml:space="preserve">emales </w:t>
      </w:r>
      <w:r w:rsidRPr="001A2585">
        <w:rPr>
          <w:rFonts w:cs="DaxOT-Medium"/>
        </w:rPr>
        <w:t xml:space="preserve">were </w:t>
      </w:r>
      <w:r w:rsidRPr="001A2585">
        <w:rPr>
          <w:rFonts w:cs="DaxOT"/>
        </w:rPr>
        <w:t>more likely to be employed in service industries such as health care and social assistance.</w:t>
      </w:r>
    </w:p>
    <w:p w:rsidR="001A2585" w:rsidRPr="001A2585" w:rsidRDefault="001A2585" w:rsidP="001A2585">
      <w:pPr>
        <w:pStyle w:val="ListParagraph"/>
        <w:numPr>
          <w:ilvl w:val="0"/>
          <w:numId w:val="17"/>
        </w:numPr>
        <w:spacing w:after="0"/>
        <w:rPr>
          <w:rFonts w:cs="DaxOT"/>
        </w:rPr>
      </w:pPr>
      <w:r w:rsidRPr="001A2585">
        <w:t xml:space="preserve">Across Wyndham, a larger proportion of females had completed Year 12 compared to </w:t>
      </w:r>
      <w:r w:rsidR="008E41FB">
        <w:t>m</w:t>
      </w:r>
      <w:r w:rsidRPr="001A2585">
        <w:t>ales (52% and 4</w:t>
      </w:r>
      <w:r w:rsidRPr="001A2585">
        <w:rPr>
          <w:rFonts w:cs="DaxOT-Light"/>
        </w:rPr>
        <w:t>8% respectively). Compared to Greater Melbourne, there were proportionally more Wyndham adults, both male and female, who had achieved a Year 12 qualification.</w:t>
      </w:r>
    </w:p>
    <w:p w:rsidR="001A2585" w:rsidRPr="00AA6CCB" w:rsidRDefault="001A2585" w:rsidP="001A2585">
      <w:pPr>
        <w:pStyle w:val="ListParagraph"/>
        <w:numPr>
          <w:ilvl w:val="0"/>
          <w:numId w:val="17"/>
        </w:numPr>
        <w:spacing w:after="0"/>
        <w:rPr>
          <w:rFonts w:cs="DaxOT"/>
        </w:rPr>
      </w:pPr>
      <w:r w:rsidRPr="00AA6CCB">
        <w:t>Wyndham males have higher levels of personal income than Wyndham females</w:t>
      </w:r>
      <w:r w:rsidRPr="00AA6CCB">
        <w:rPr>
          <w:rFonts w:cs="DaxOT"/>
        </w:rPr>
        <w:t xml:space="preserve">, which </w:t>
      </w:r>
      <w:proofErr w:type="gramStart"/>
      <w:r w:rsidRPr="00AA6CCB">
        <w:rPr>
          <w:rFonts w:cs="DaxOT"/>
        </w:rPr>
        <w:t>is</w:t>
      </w:r>
      <w:proofErr w:type="gramEnd"/>
      <w:r w:rsidRPr="00AA6CCB">
        <w:rPr>
          <w:rFonts w:cs="DaxOT"/>
        </w:rPr>
        <w:t xml:space="preserve"> likely to be </w:t>
      </w:r>
      <w:r w:rsidRPr="00AA6CCB">
        <w:rPr>
          <w:rFonts w:cs="DaxOT-Light"/>
        </w:rPr>
        <w:t>a result of a range of social and economic factors including levels of employment, industry of employment and profession.</w:t>
      </w:r>
    </w:p>
    <w:p w:rsidR="00AA6CCB" w:rsidRPr="00AA6CCB" w:rsidRDefault="00AA6CCB" w:rsidP="00BA24E2">
      <w:pPr>
        <w:pStyle w:val="Heading1"/>
        <w:rPr>
          <w:sz w:val="22"/>
          <w:szCs w:val="22"/>
        </w:rPr>
      </w:pPr>
    </w:p>
    <w:p w:rsidR="00E2228B" w:rsidRPr="00C52E94" w:rsidRDefault="00E2228B" w:rsidP="00BA24E2">
      <w:pPr>
        <w:pStyle w:val="Heading1"/>
        <w:rPr>
          <w:szCs w:val="32"/>
        </w:rPr>
      </w:pPr>
      <w:r w:rsidRPr="00C52E94">
        <w:rPr>
          <w:szCs w:val="32"/>
        </w:rPr>
        <w:t xml:space="preserve">Physical Wellbeing </w:t>
      </w:r>
    </w:p>
    <w:p w:rsidR="00C52E94" w:rsidRPr="00C52E94" w:rsidRDefault="00DA2F7F" w:rsidP="00C52E94">
      <w:pPr>
        <w:pStyle w:val="Default"/>
        <w:rPr>
          <w:rFonts w:asciiTheme="minorHAnsi" w:hAnsiTheme="minorHAnsi" w:cs="DaxOT"/>
          <w:sz w:val="22"/>
          <w:szCs w:val="22"/>
        </w:rPr>
      </w:pPr>
      <w:r w:rsidRPr="00C52E94">
        <w:rPr>
          <w:rFonts w:asciiTheme="minorHAnsi" w:hAnsiTheme="minorHAnsi" w:cstheme="minorBidi"/>
          <w:color w:val="auto"/>
          <w:sz w:val="22"/>
          <w:szCs w:val="22"/>
        </w:rPr>
        <w:t xml:space="preserve">Overall good physical health and wellbeing is critical to avoiding a range of preventable diseases. </w:t>
      </w:r>
      <w:r w:rsidRPr="00C52E94">
        <w:rPr>
          <w:rFonts w:asciiTheme="minorHAnsi" w:hAnsiTheme="minorHAnsi" w:cs="DaxOT"/>
          <w:color w:val="auto"/>
          <w:sz w:val="22"/>
          <w:szCs w:val="22"/>
        </w:rPr>
        <w:t xml:space="preserve">Our physical health and wellbeing is often closely connected to our mental and emotional health, and healthier, happier </w:t>
      </w:r>
      <w:proofErr w:type="gramStart"/>
      <w:r w:rsidRPr="00C52E94">
        <w:rPr>
          <w:rFonts w:asciiTheme="minorHAnsi" w:hAnsiTheme="minorHAnsi" w:cs="DaxOT"/>
          <w:color w:val="auto"/>
          <w:sz w:val="22"/>
          <w:szCs w:val="22"/>
        </w:rPr>
        <w:t>individuals</w:t>
      </w:r>
      <w:proofErr w:type="gramEnd"/>
      <w:r w:rsidRPr="00C52E94">
        <w:rPr>
          <w:rFonts w:asciiTheme="minorHAnsi" w:hAnsiTheme="minorHAnsi" w:cs="DaxOT"/>
          <w:color w:val="auto"/>
          <w:sz w:val="22"/>
          <w:szCs w:val="22"/>
        </w:rPr>
        <w:t xml:space="preserve"> leads to greater community wellbeing.</w:t>
      </w:r>
      <w:r w:rsidR="00C52E94" w:rsidRPr="00C52E94">
        <w:rPr>
          <w:rFonts w:asciiTheme="minorHAnsi" w:hAnsiTheme="minorHAnsi"/>
          <w:sz w:val="22"/>
          <w:szCs w:val="22"/>
        </w:rPr>
        <w:t xml:space="preserve"> </w:t>
      </w:r>
    </w:p>
    <w:p w:rsidR="00E2228B" w:rsidRPr="00C52E94" w:rsidRDefault="00C52E94" w:rsidP="00C52E94">
      <w:pPr>
        <w:pStyle w:val="Default"/>
        <w:spacing w:line="276" w:lineRule="auto"/>
        <w:rPr>
          <w:rFonts w:asciiTheme="minorHAnsi" w:hAnsiTheme="minorHAnsi" w:cs="DaxOT"/>
          <w:color w:val="auto"/>
          <w:sz w:val="22"/>
          <w:szCs w:val="22"/>
        </w:rPr>
      </w:pPr>
      <w:r w:rsidRPr="00C52E94">
        <w:rPr>
          <w:rFonts w:asciiTheme="minorHAnsi" w:hAnsiTheme="minorHAnsi" w:cstheme="minorBidi"/>
          <w:color w:val="auto"/>
          <w:sz w:val="22"/>
          <w:szCs w:val="22"/>
        </w:rPr>
        <w:t xml:space="preserve">Recent physical health and activity data shows Wyndham adults are </w:t>
      </w:r>
      <w:r w:rsidRPr="00C52E94">
        <w:rPr>
          <w:rFonts w:asciiTheme="minorHAnsi" w:hAnsiTheme="minorHAnsi" w:cs="DaxOT-Light"/>
          <w:color w:val="auto"/>
          <w:sz w:val="22"/>
          <w:szCs w:val="22"/>
        </w:rPr>
        <w:t xml:space="preserve">not faring as well as adults in the </w:t>
      </w:r>
      <w:r w:rsidRPr="00C52E94">
        <w:rPr>
          <w:rFonts w:asciiTheme="minorHAnsi" w:hAnsiTheme="minorHAnsi" w:cs="DaxOT"/>
          <w:color w:val="auto"/>
          <w:sz w:val="22"/>
          <w:szCs w:val="22"/>
        </w:rPr>
        <w:t xml:space="preserve">North </w:t>
      </w:r>
      <w:r w:rsidRPr="00C52E94">
        <w:rPr>
          <w:rFonts w:asciiTheme="minorHAnsi" w:hAnsiTheme="minorHAnsi" w:cs="DaxOT-Light"/>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Light"/>
          <w:color w:val="auto"/>
          <w:sz w:val="22"/>
          <w:szCs w:val="22"/>
        </w:rPr>
        <w:t xml:space="preserve">area </w:t>
      </w:r>
      <w:r w:rsidRPr="00C52E94">
        <w:rPr>
          <w:rFonts w:asciiTheme="minorHAnsi" w:hAnsiTheme="minorHAnsi" w:cs="DaxOT"/>
          <w:color w:val="auto"/>
          <w:sz w:val="22"/>
          <w:szCs w:val="22"/>
        </w:rPr>
        <w:t xml:space="preserve">and Victoria. This conclusion is drawn not only from quantitative assessments such as time </w:t>
      </w:r>
      <w:r w:rsidR="008D01EE">
        <w:rPr>
          <w:rFonts w:asciiTheme="minorHAnsi" w:hAnsiTheme="minorHAnsi" w:cs="DaxOT"/>
          <w:color w:val="auto"/>
          <w:sz w:val="22"/>
          <w:szCs w:val="22"/>
        </w:rPr>
        <w:t xml:space="preserve">spent </w:t>
      </w:r>
      <w:r w:rsidRPr="00C52E94">
        <w:rPr>
          <w:rFonts w:asciiTheme="minorHAnsi" w:hAnsiTheme="minorHAnsi" w:cs="DaxOT"/>
          <w:color w:val="auto"/>
          <w:sz w:val="22"/>
          <w:szCs w:val="22"/>
        </w:rPr>
        <w:t>exercising, rates of classified obesity and diabetes, and participation in activity, but also from subjective perception through self-reported health levels.</w:t>
      </w:r>
    </w:p>
    <w:p w:rsidR="00C52E94" w:rsidRPr="00C52E94" w:rsidRDefault="00C52E94" w:rsidP="00C52E94">
      <w:pPr>
        <w:autoSpaceDE w:val="0"/>
        <w:autoSpaceDN w:val="0"/>
        <w:adjustRightInd w:val="0"/>
        <w:spacing w:after="0" w:line="240" w:lineRule="auto"/>
      </w:pPr>
    </w:p>
    <w:p w:rsidR="00C52E94" w:rsidRPr="00C52E94" w:rsidRDefault="00C52E94" w:rsidP="00C52E94">
      <w:pPr>
        <w:pStyle w:val="Default"/>
        <w:numPr>
          <w:ilvl w:val="0"/>
          <w:numId w:val="8"/>
        </w:numPr>
        <w:spacing w:line="276" w:lineRule="auto"/>
        <w:rPr>
          <w:rFonts w:asciiTheme="minorHAnsi" w:hAnsiTheme="minorHAnsi" w:cs="DaxOT"/>
          <w:sz w:val="22"/>
          <w:szCs w:val="22"/>
        </w:rPr>
      </w:pPr>
      <w:proofErr w:type="gramStart"/>
      <w:r w:rsidRPr="00C52E94">
        <w:rPr>
          <w:rFonts w:asciiTheme="minorHAnsi" w:hAnsiTheme="minorHAnsi" w:cstheme="minorBidi"/>
          <w:color w:val="auto"/>
          <w:sz w:val="22"/>
          <w:szCs w:val="22"/>
        </w:rPr>
        <w:t>Individual perception</w:t>
      </w:r>
      <w:r w:rsidRPr="00C52E94">
        <w:rPr>
          <w:rFonts w:asciiTheme="minorHAnsi" w:hAnsiTheme="minorHAnsi" w:cs="DaxOT-Light"/>
          <w:color w:val="auto"/>
          <w:sz w:val="22"/>
          <w:szCs w:val="22"/>
        </w:rPr>
        <w:t xml:space="preserve">s </w:t>
      </w:r>
      <w:r w:rsidRPr="00C52E94">
        <w:rPr>
          <w:rFonts w:asciiTheme="minorHAnsi" w:hAnsiTheme="minorHAnsi" w:cs="DaxOT"/>
          <w:color w:val="auto"/>
          <w:sz w:val="22"/>
          <w:szCs w:val="22"/>
        </w:rPr>
        <w:t>of excellent or very good health is</w:t>
      </w:r>
      <w:proofErr w:type="gramEnd"/>
      <w:r w:rsidRPr="00C52E94">
        <w:rPr>
          <w:rFonts w:asciiTheme="minorHAnsi" w:hAnsiTheme="minorHAnsi" w:cs="DaxOT"/>
          <w:color w:val="auto"/>
          <w:sz w:val="22"/>
          <w:szCs w:val="22"/>
        </w:rPr>
        <w:t xml:space="preserve"> low amongst Wyndham adults. In 2014, 28% of Wyndham adults reported </w:t>
      </w:r>
      <w:r w:rsidRPr="00C52E94">
        <w:rPr>
          <w:rFonts w:asciiTheme="minorHAnsi" w:hAnsiTheme="minorHAnsi" w:cs="DaxOT-Regular"/>
          <w:color w:val="auto"/>
          <w:sz w:val="22"/>
          <w:szCs w:val="22"/>
        </w:rPr>
        <w:t>excellent or very good health</w:t>
      </w:r>
      <w:r w:rsidRPr="00C52E94">
        <w:rPr>
          <w:rFonts w:asciiTheme="minorHAnsi" w:hAnsiTheme="minorHAnsi" w:cs="DaxOT"/>
          <w:color w:val="auto"/>
          <w:sz w:val="22"/>
          <w:szCs w:val="22"/>
        </w:rPr>
        <w:t xml:space="preserve">, compared to 37% of adults in the North </w:t>
      </w:r>
      <w:r w:rsidRPr="00C52E94">
        <w:rPr>
          <w:rFonts w:asciiTheme="minorHAnsi" w:hAnsiTheme="minorHAnsi" w:cs="DaxOT-Light"/>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Light"/>
          <w:color w:val="auto"/>
          <w:sz w:val="22"/>
          <w:szCs w:val="22"/>
        </w:rPr>
        <w:t>area</w:t>
      </w:r>
      <w:r w:rsidRPr="00C52E94">
        <w:rPr>
          <w:rFonts w:asciiTheme="minorHAnsi" w:hAnsiTheme="minorHAnsi" w:cs="DaxOT"/>
          <w:color w:val="auto"/>
          <w:sz w:val="22"/>
          <w:szCs w:val="22"/>
        </w:rPr>
        <w:t>, and 40% in Victoria.</w:t>
      </w:r>
    </w:p>
    <w:p w:rsidR="00C52E94" w:rsidRPr="00C52E94" w:rsidRDefault="00C52E94" w:rsidP="00C52E94">
      <w:pPr>
        <w:pStyle w:val="Default"/>
        <w:numPr>
          <w:ilvl w:val="0"/>
          <w:numId w:val="8"/>
        </w:numPr>
        <w:spacing w:line="276" w:lineRule="auto"/>
        <w:rPr>
          <w:rFonts w:asciiTheme="minorHAnsi" w:hAnsiTheme="minorHAnsi" w:cs="DaxOT"/>
          <w:sz w:val="22"/>
          <w:szCs w:val="22"/>
        </w:rPr>
      </w:pPr>
      <w:r w:rsidRPr="00C52E94">
        <w:rPr>
          <w:rFonts w:asciiTheme="minorHAnsi" w:hAnsiTheme="minorHAnsi" w:cstheme="minorBidi"/>
          <w:color w:val="auto"/>
          <w:sz w:val="22"/>
          <w:szCs w:val="22"/>
        </w:rPr>
        <w:t xml:space="preserve">Less than half </w:t>
      </w:r>
      <w:r w:rsidRPr="00C52E94">
        <w:rPr>
          <w:rFonts w:asciiTheme="minorHAnsi" w:hAnsiTheme="minorHAnsi" w:cs="DaxOT"/>
          <w:color w:val="auto"/>
          <w:sz w:val="22"/>
          <w:szCs w:val="22"/>
        </w:rPr>
        <w:t>(</w:t>
      </w:r>
      <w:r w:rsidRPr="00C52E94">
        <w:rPr>
          <w:rFonts w:asciiTheme="minorHAnsi" w:hAnsiTheme="minorHAnsi" w:cs="DaxOT-Medium"/>
          <w:color w:val="auto"/>
          <w:sz w:val="22"/>
          <w:szCs w:val="22"/>
        </w:rPr>
        <w:t>3</w:t>
      </w:r>
      <w:r w:rsidRPr="00C52E94">
        <w:rPr>
          <w:rFonts w:asciiTheme="minorHAnsi" w:hAnsiTheme="minorHAnsi" w:cs="DaxOT"/>
          <w:color w:val="auto"/>
          <w:sz w:val="22"/>
          <w:szCs w:val="22"/>
        </w:rPr>
        <w:t xml:space="preserve">5%) of Wyndham adults are getting the recommended amount of physical activity per week, and fall behind North </w:t>
      </w:r>
      <w:r w:rsidRPr="00C52E94">
        <w:rPr>
          <w:rFonts w:asciiTheme="minorHAnsi" w:hAnsiTheme="minorHAnsi" w:cs="DaxOT-Medium"/>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Medium"/>
          <w:color w:val="auto"/>
          <w:sz w:val="22"/>
          <w:szCs w:val="22"/>
        </w:rPr>
        <w:t xml:space="preserve">area </w:t>
      </w:r>
      <w:r w:rsidRPr="00C52E94">
        <w:rPr>
          <w:rFonts w:asciiTheme="minorHAnsi" w:hAnsiTheme="minorHAnsi" w:cs="DaxOT"/>
          <w:color w:val="auto"/>
          <w:sz w:val="22"/>
          <w:szCs w:val="22"/>
        </w:rPr>
        <w:t>(</w:t>
      </w:r>
      <w:r w:rsidRPr="00C52E94">
        <w:rPr>
          <w:rFonts w:asciiTheme="minorHAnsi" w:hAnsiTheme="minorHAnsi" w:cs="DaxOT-Medium"/>
          <w:color w:val="auto"/>
          <w:sz w:val="22"/>
          <w:szCs w:val="22"/>
        </w:rPr>
        <w:t>39</w:t>
      </w:r>
      <w:r w:rsidRPr="00C52E94">
        <w:rPr>
          <w:rFonts w:asciiTheme="minorHAnsi" w:hAnsiTheme="minorHAnsi" w:cs="DaxOT"/>
          <w:color w:val="auto"/>
          <w:sz w:val="22"/>
          <w:szCs w:val="22"/>
        </w:rPr>
        <w:t xml:space="preserve">%) and Victoria </w:t>
      </w:r>
      <w:r w:rsidRPr="00C52E94">
        <w:rPr>
          <w:rFonts w:asciiTheme="minorHAnsi" w:hAnsiTheme="minorHAnsi" w:cs="DaxOT-Medium"/>
          <w:color w:val="auto"/>
          <w:sz w:val="22"/>
          <w:szCs w:val="22"/>
        </w:rPr>
        <w:t>(41</w:t>
      </w:r>
      <w:r w:rsidRPr="00C52E94">
        <w:rPr>
          <w:rFonts w:asciiTheme="minorHAnsi" w:hAnsiTheme="minorHAnsi" w:cs="DaxOT"/>
          <w:color w:val="auto"/>
          <w:sz w:val="22"/>
          <w:szCs w:val="22"/>
        </w:rPr>
        <w:t>%).</w:t>
      </w:r>
    </w:p>
    <w:p w:rsidR="00C52E94" w:rsidRPr="00C52E94" w:rsidRDefault="00C52E94" w:rsidP="00C52E94">
      <w:pPr>
        <w:pStyle w:val="Default"/>
        <w:numPr>
          <w:ilvl w:val="0"/>
          <w:numId w:val="8"/>
        </w:numPr>
        <w:spacing w:line="276" w:lineRule="auto"/>
        <w:rPr>
          <w:rFonts w:asciiTheme="minorHAnsi" w:hAnsiTheme="minorHAnsi" w:cs="DaxOT"/>
          <w:sz w:val="22"/>
          <w:szCs w:val="22"/>
        </w:rPr>
      </w:pPr>
      <w:r w:rsidRPr="00C52E94">
        <w:rPr>
          <w:rFonts w:asciiTheme="minorHAnsi" w:hAnsiTheme="minorHAnsi" w:cstheme="minorBidi"/>
          <w:color w:val="auto"/>
          <w:sz w:val="22"/>
          <w:szCs w:val="22"/>
        </w:rPr>
        <w:t xml:space="preserve">Around </w:t>
      </w:r>
      <w:r w:rsidRPr="00C52E94">
        <w:rPr>
          <w:rFonts w:asciiTheme="minorHAnsi" w:hAnsiTheme="minorHAnsi" w:cs="DaxOT"/>
          <w:color w:val="auto"/>
          <w:sz w:val="22"/>
          <w:szCs w:val="22"/>
        </w:rPr>
        <w:t xml:space="preserve">one-in-four adults in Wyndham sit for more than eight hours per day, which matches the statistics across North </w:t>
      </w:r>
      <w:r w:rsidRPr="00C52E94">
        <w:rPr>
          <w:rFonts w:asciiTheme="minorHAnsi" w:hAnsiTheme="minorHAnsi" w:cs="DaxOT-Light"/>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Light"/>
          <w:color w:val="auto"/>
          <w:sz w:val="22"/>
          <w:szCs w:val="22"/>
        </w:rPr>
        <w:t xml:space="preserve">area </w:t>
      </w:r>
      <w:r w:rsidRPr="00C52E94">
        <w:rPr>
          <w:rFonts w:asciiTheme="minorHAnsi" w:hAnsiTheme="minorHAnsi" w:cs="DaxOT"/>
          <w:color w:val="auto"/>
          <w:sz w:val="22"/>
          <w:szCs w:val="22"/>
        </w:rPr>
        <w:t>and Victoria.</w:t>
      </w:r>
    </w:p>
    <w:p w:rsidR="00C52E94" w:rsidRPr="00C52E94" w:rsidRDefault="00C52E94" w:rsidP="00C52E94">
      <w:pPr>
        <w:pStyle w:val="Default"/>
        <w:numPr>
          <w:ilvl w:val="0"/>
          <w:numId w:val="8"/>
        </w:numPr>
        <w:spacing w:line="276" w:lineRule="auto"/>
        <w:rPr>
          <w:rFonts w:asciiTheme="minorHAnsi" w:hAnsiTheme="minorHAnsi" w:cs="DaxOT"/>
          <w:sz w:val="22"/>
          <w:szCs w:val="22"/>
        </w:rPr>
      </w:pPr>
      <w:r w:rsidRPr="00C52E94">
        <w:rPr>
          <w:rFonts w:asciiTheme="minorHAnsi" w:hAnsiTheme="minorHAnsi" w:cstheme="minorBidi"/>
          <w:color w:val="auto"/>
          <w:sz w:val="22"/>
          <w:szCs w:val="22"/>
        </w:rPr>
        <w:t xml:space="preserve">Walking was a less common mode of regular transport for </w:t>
      </w:r>
      <w:r w:rsidRPr="00C52E94">
        <w:rPr>
          <w:rFonts w:asciiTheme="minorHAnsi" w:hAnsiTheme="minorHAnsi" w:cs="DaxOT"/>
          <w:color w:val="auto"/>
          <w:sz w:val="22"/>
          <w:szCs w:val="22"/>
        </w:rPr>
        <w:t xml:space="preserve">Wyndham adults than for those in the North </w:t>
      </w:r>
      <w:r w:rsidRPr="00C52E94">
        <w:rPr>
          <w:rFonts w:asciiTheme="minorHAnsi" w:hAnsiTheme="minorHAnsi" w:cs="DaxOT-Medium"/>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Medium"/>
          <w:color w:val="auto"/>
          <w:sz w:val="22"/>
          <w:szCs w:val="22"/>
        </w:rPr>
        <w:t xml:space="preserve">area </w:t>
      </w:r>
      <w:r w:rsidRPr="00C52E94">
        <w:rPr>
          <w:rFonts w:asciiTheme="minorHAnsi" w:hAnsiTheme="minorHAnsi" w:cs="DaxOT"/>
          <w:color w:val="auto"/>
          <w:sz w:val="22"/>
          <w:szCs w:val="22"/>
        </w:rPr>
        <w:t>and Victoria.</w:t>
      </w:r>
    </w:p>
    <w:p w:rsidR="00C52E94" w:rsidRPr="00C52E94" w:rsidRDefault="00C52E94" w:rsidP="00C52E94">
      <w:pPr>
        <w:pStyle w:val="Default"/>
        <w:numPr>
          <w:ilvl w:val="0"/>
          <w:numId w:val="8"/>
        </w:numPr>
        <w:spacing w:line="276" w:lineRule="auto"/>
        <w:rPr>
          <w:rFonts w:asciiTheme="minorHAnsi" w:hAnsiTheme="minorHAnsi" w:cs="DaxOT"/>
          <w:sz w:val="22"/>
          <w:szCs w:val="22"/>
        </w:rPr>
      </w:pPr>
      <w:r w:rsidRPr="00C52E94">
        <w:rPr>
          <w:rFonts w:asciiTheme="minorHAnsi" w:hAnsiTheme="minorHAnsi" w:cstheme="minorBidi"/>
          <w:color w:val="auto"/>
          <w:sz w:val="22"/>
          <w:szCs w:val="22"/>
        </w:rPr>
        <w:t xml:space="preserve">Diabetes was more prevalent among Wyndham adults </w:t>
      </w:r>
      <w:r w:rsidRPr="00C52E94">
        <w:rPr>
          <w:rFonts w:asciiTheme="minorHAnsi" w:hAnsiTheme="minorHAnsi" w:cs="DaxOT"/>
          <w:color w:val="auto"/>
          <w:sz w:val="22"/>
          <w:szCs w:val="22"/>
        </w:rPr>
        <w:t xml:space="preserve">compared to adults in the North </w:t>
      </w:r>
      <w:r w:rsidRPr="00C52E94">
        <w:rPr>
          <w:rFonts w:asciiTheme="minorHAnsi" w:hAnsiTheme="minorHAnsi" w:cs="DaxOT-Light"/>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Light"/>
          <w:color w:val="auto"/>
          <w:sz w:val="22"/>
          <w:szCs w:val="22"/>
        </w:rPr>
        <w:t xml:space="preserve">area </w:t>
      </w:r>
      <w:r w:rsidRPr="00C52E94">
        <w:rPr>
          <w:rFonts w:asciiTheme="minorHAnsi" w:hAnsiTheme="minorHAnsi" w:cs="DaxOT"/>
          <w:color w:val="auto"/>
          <w:sz w:val="22"/>
          <w:szCs w:val="22"/>
        </w:rPr>
        <w:t>and Victoria.</w:t>
      </w:r>
    </w:p>
    <w:p w:rsidR="00C52E94" w:rsidRPr="004F06C9" w:rsidRDefault="00C52E94" w:rsidP="00C52E94">
      <w:pPr>
        <w:pStyle w:val="Default"/>
        <w:numPr>
          <w:ilvl w:val="0"/>
          <w:numId w:val="8"/>
        </w:numPr>
        <w:spacing w:line="276" w:lineRule="auto"/>
        <w:rPr>
          <w:rFonts w:asciiTheme="minorHAnsi" w:hAnsiTheme="minorHAnsi" w:cs="DaxOT"/>
          <w:sz w:val="22"/>
          <w:szCs w:val="22"/>
        </w:rPr>
      </w:pPr>
      <w:r w:rsidRPr="00C52E94">
        <w:rPr>
          <w:rFonts w:asciiTheme="minorHAnsi" w:hAnsiTheme="minorHAnsi" w:cstheme="minorBidi"/>
          <w:color w:val="auto"/>
          <w:sz w:val="22"/>
          <w:szCs w:val="22"/>
        </w:rPr>
        <w:t xml:space="preserve">A greater proportion of </w:t>
      </w:r>
      <w:r w:rsidRPr="00C52E94">
        <w:rPr>
          <w:rFonts w:asciiTheme="minorHAnsi" w:hAnsiTheme="minorHAnsi" w:cs="DaxOT"/>
          <w:color w:val="auto"/>
          <w:sz w:val="22"/>
          <w:szCs w:val="22"/>
        </w:rPr>
        <w:t xml:space="preserve">adults in Wyndham are classified as obese (25%), </w:t>
      </w:r>
      <w:r w:rsidRPr="00C52E94">
        <w:rPr>
          <w:rFonts w:asciiTheme="minorHAnsi" w:hAnsiTheme="minorHAnsi" w:cs="DaxOT-Light"/>
          <w:color w:val="auto"/>
          <w:sz w:val="22"/>
          <w:szCs w:val="22"/>
        </w:rPr>
        <w:t xml:space="preserve">compared to those in the </w:t>
      </w:r>
      <w:r w:rsidRPr="004F06C9">
        <w:rPr>
          <w:rFonts w:asciiTheme="minorHAnsi" w:hAnsiTheme="minorHAnsi" w:cs="DaxOT"/>
          <w:color w:val="auto"/>
          <w:sz w:val="22"/>
          <w:szCs w:val="22"/>
        </w:rPr>
        <w:t xml:space="preserve">North </w:t>
      </w:r>
      <w:r w:rsidRPr="004F06C9">
        <w:rPr>
          <w:rFonts w:asciiTheme="minorHAnsi" w:hAnsiTheme="minorHAnsi" w:cs="DaxOT-Medium"/>
          <w:color w:val="auto"/>
          <w:sz w:val="22"/>
          <w:szCs w:val="22"/>
        </w:rPr>
        <w:t xml:space="preserve">and </w:t>
      </w:r>
      <w:r w:rsidRPr="004F06C9">
        <w:rPr>
          <w:rFonts w:asciiTheme="minorHAnsi" w:hAnsiTheme="minorHAnsi" w:cs="DaxOT"/>
          <w:color w:val="auto"/>
          <w:sz w:val="22"/>
          <w:szCs w:val="22"/>
        </w:rPr>
        <w:t xml:space="preserve">West Metro </w:t>
      </w:r>
      <w:r w:rsidRPr="004F06C9">
        <w:rPr>
          <w:rFonts w:asciiTheme="minorHAnsi" w:hAnsiTheme="minorHAnsi" w:cs="DaxOT-Medium"/>
          <w:color w:val="auto"/>
          <w:sz w:val="22"/>
          <w:szCs w:val="22"/>
        </w:rPr>
        <w:t xml:space="preserve">area </w:t>
      </w:r>
      <w:r w:rsidRPr="004F06C9">
        <w:rPr>
          <w:rFonts w:asciiTheme="minorHAnsi" w:hAnsiTheme="minorHAnsi" w:cs="DaxOT"/>
          <w:color w:val="auto"/>
          <w:sz w:val="22"/>
          <w:szCs w:val="22"/>
        </w:rPr>
        <w:t>(20%) and Victoria (19%).</w:t>
      </w:r>
    </w:p>
    <w:p w:rsidR="00C52E94" w:rsidRPr="004F06C9" w:rsidRDefault="00C52E94" w:rsidP="00BA24E2">
      <w:pPr>
        <w:pStyle w:val="Heading1"/>
        <w:rPr>
          <w:sz w:val="22"/>
          <w:szCs w:val="22"/>
        </w:rPr>
      </w:pPr>
    </w:p>
    <w:p w:rsidR="00E2228B" w:rsidRPr="00BA24E2" w:rsidRDefault="00E2228B" w:rsidP="00BA24E2">
      <w:pPr>
        <w:pStyle w:val="Heading1"/>
      </w:pPr>
      <w:r w:rsidRPr="00BA24E2">
        <w:t>Mental Wellbeing</w:t>
      </w:r>
    </w:p>
    <w:p w:rsidR="00E2228B" w:rsidRDefault="00E2228B" w:rsidP="000F4CB4">
      <w:pPr>
        <w:pStyle w:val="Default"/>
        <w:rPr>
          <w:rFonts w:asciiTheme="minorHAnsi" w:hAnsiTheme="minorHAnsi" w:cstheme="minorBidi"/>
          <w:color w:val="auto"/>
          <w:sz w:val="22"/>
          <w:szCs w:val="22"/>
        </w:rPr>
      </w:pPr>
      <w:r w:rsidRPr="000167FE">
        <w:rPr>
          <w:rFonts w:asciiTheme="minorHAnsi" w:hAnsiTheme="minorHAnsi" w:cstheme="minorBidi"/>
          <w:color w:val="auto"/>
          <w:sz w:val="22"/>
          <w:szCs w:val="22"/>
        </w:rPr>
        <w:t xml:space="preserve">Mental health is defined as ‘a state of wellbeing which every individual realises his or her own potential, can cope with the </w:t>
      </w:r>
      <w:r w:rsidRPr="000F4CB4">
        <w:rPr>
          <w:rFonts w:asciiTheme="minorHAnsi" w:hAnsiTheme="minorHAnsi" w:cstheme="minorBidi"/>
          <w:color w:val="auto"/>
          <w:sz w:val="22"/>
          <w:szCs w:val="22"/>
        </w:rPr>
        <w:t xml:space="preserve">normal stresses of life, can work productively and fruitfully, and is able to make a contribution to her or his community’. </w:t>
      </w:r>
      <w:r w:rsidR="000F4CB4" w:rsidRPr="000F4CB4">
        <w:rPr>
          <w:rFonts w:asciiTheme="minorHAnsi" w:hAnsiTheme="minorHAnsi" w:cstheme="minorBidi"/>
          <w:color w:val="auto"/>
          <w:sz w:val="22"/>
          <w:szCs w:val="22"/>
        </w:rPr>
        <w:t>Therefore, mental health is about being cognitively, emotionally and socially healthy.</w:t>
      </w:r>
    </w:p>
    <w:p w:rsidR="000F4CB4" w:rsidRPr="000167FE" w:rsidRDefault="000F4CB4" w:rsidP="000F4CB4">
      <w:pPr>
        <w:pStyle w:val="Default"/>
        <w:rPr>
          <w:rFonts w:asciiTheme="minorHAnsi" w:hAnsiTheme="minorHAnsi" w:cs="DaxOT"/>
          <w:sz w:val="22"/>
          <w:szCs w:val="22"/>
        </w:rPr>
      </w:pPr>
    </w:p>
    <w:p w:rsidR="00E2228B" w:rsidRPr="000F4CB4" w:rsidRDefault="00E2228B" w:rsidP="00E2228B">
      <w:pPr>
        <w:pStyle w:val="Default"/>
        <w:numPr>
          <w:ilvl w:val="0"/>
          <w:numId w:val="7"/>
        </w:numPr>
        <w:spacing w:line="276" w:lineRule="auto"/>
        <w:rPr>
          <w:rFonts w:asciiTheme="minorHAnsi" w:hAnsiTheme="minorHAnsi" w:cs="DaxOT-Medium"/>
          <w:color w:val="auto"/>
          <w:sz w:val="22"/>
          <w:szCs w:val="22"/>
        </w:rPr>
      </w:pPr>
      <w:r w:rsidRPr="000167FE">
        <w:rPr>
          <w:rFonts w:asciiTheme="minorHAnsi" w:hAnsiTheme="minorHAnsi" w:cstheme="minorBidi"/>
          <w:color w:val="auto"/>
          <w:sz w:val="22"/>
          <w:szCs w:val="22"/>
        </w:rPr>
        <w:lastRenderedPageBreak/>
        <w:t xml:space="preserve">Compared to adults in Victoria, a larger proportion of </w:t>
      </w:r>
      <w:r w:rsidRPr="000167FE">
        <w:rPr>
          <w:rFonts w:asciiTheme="minorHAnsi" w:hAnsiTheme="minorHAnsi" w:cs="DaxOT-Medium"/>
          <w:color w:val="auto"/>
          <w:sz w:val="22"/>
          <w:szCs w:val="22"/>
        </w:rPr>
        <w:t xml:space="preserve">Wyndham adults are experiencing </w:t>
      </w:r>
      <w:r w:rsidRPr="000167FE">
        <w:rPr>
          <w:rFonts w:asciiTheme="minorHAnsi" w:hAnsiTheme="minorHAnsi" w:cs="DaxOT-Light"/>
          <w:color w:val="auto"/>
          <w:sz w:val="22"/>
          <w:szCs w:val="22"/>
        </w:rPr>
        <w:t xml:space="preserve">factors that may contribute to an increased risk of </w:t>
      </w:r>
      <w:r w:rsidRPr="000167FE">
        <w:rPr>
          <w:rFonts w:asciiTheme="minorHAnsi" w:hAnsiTheme="minorHAnsi" w:cs="DaxOT-Medium"/>
          <w:color w:val="auto"/>
          <w:sz w:val="22"/>
          <w:szCs w:val="22"/>
        </w:rPr>
        <w:t>poor mental wellbeing</w:t>
      </w:r>
      <w:r w:rsidRPr="000167FE">
        <w:rPr>
          <w:rFonts w:asciiTheme="minorHAnsi" w:hAnsiTheme="minorHAnsi" w:cs="DaxOT-Light"/>
          <w:color w:val="auto"/>
          <w:sz w:val="22"/>
          <w:szCs w:val="22"/>
        </w:rPr>
        <w:t xml:space="preserve">, including </w:t>
      </w:r>
      <w:r w:rsidRPr="000167FE">
        <w:rPr>
          <w:rFonts w:asciiTheme="minorHAnsi" w:hAnsiTheme="minorHAnsi" w:cs="DaxOT-Medium"/>
          <w:color w:val="auto"/>
          <w:sz w:val="22"/>
          <w:szCs w:val="22"/>
        </w:rPr>
        <w:t>lack of sleep</w:t>
      </w:r>
      <w:r w:rsidRPr="000167FE">
        <w:rPr>
          <w:rFonts w:asciiTheme="minorHAnsi" w:hAnsiTheme="minorHAnsi" w:cs="DaxOT-Light"/>
          <w:color w:val="auto"/>
          <w:sz w:val="22"/>
          <w:szCs w:val="22"/>
        </w:rPr>
        <w:t xml:space="preserve">, </w:t>
      </w:r>
      <w:r w:rsidRPr="000167FE">
        <w:rPr>
          <w:rFonts w:asciiTheme="minorHAnsi" w:hAnsiTheme="minorHAnsi" w:cs="DaxOT-Medium"/>
          <w:color w:val="auto"/>
          <w:sz w:val="22"/>
          <w:szCs w:val="22"/>
        </w:rPr>
        <w:t xml:space="preserve">time </w:t>
      </w:r>
      <w:r w:rsidRPr="000F4CB4">
        <w:rPr>
          <w:rFonts w:asciiTheme="minorHAnsi" w:hAnsiTheme="minorHAnsi" w:cs="DaxOT-Medium"/>
          <w:color w:val="auto"/>
          <w:sz w:val="22"/>
          <w:szCs w:val="22"/>
        </w:rPr>
        <w:t>pressures and lack of time with family and friends.</w:t>
      </w:r>
    </w:p>
    <w:p w:rsidR="000F4CB4" w:rsidRPr="000F4CB4" w:rsidRDefault="00E2228B" w:rsidP="000F4CB4">
      <w:pPr>
        <w:pStyle w:val="Default"/>
        <w:numPr>
          <w:ilvl w:val="0"/>
          <w:numId w:val="7"/>
        </w:numPr>
        <w:spacing w:line="276" w:lineRule="auto"/>
        <w:rPr>
          <w:rFonts w:asciiTheme="minorHAnsi" w:hAnsiTheme="minorHAnsi" w:cs="DaxOT-Light"/>
          <w:color w:val="auto"/>
          <w:sz w:val="22"/>
          <w:szCs w:val="22"/>
        </w:rPr>
      </w:pPr>
      <w:r w:rsidRPr="000F4CB4">
        <w:rPr>
          <w:rFonts w:asciiTheme="minorHAnsi" w:hAnsiTheme="minorHAnsi" w:cstheme="minorBidi"/>
          <w:color w:val="auto"/>
          <w:sz w:val="22"/>
          <w:szCs w:val="22"/>
        </w:rPr>
        <w:t xml:space="preserve">Compared to adults in </w:t>
      </w:r>
      <w:r w:rsidRPr="000F4CB4">
        <w:rPr>
          <w:rFonts w:asciiTheme="minorHAnsi" w:hAnsiTheme="minorHAnsi" w:cs="DaxOT-Medium"/>
          <w:color w:val="auto"/>
          <w:sz w:val="22"/>
          <w:szCs w:val="22"/>
        </w:rPr>
        <w:t>Victoria (21.5%)</w:t>
      </w:r>
      <w:r w:rsidRPr="000F4CB4">
        <w:rPr>
          <w:rFonts w:asciiTheme="minorHAnsi" w:hAnsiTheme="minorHAnsi" w:cs="DaxOT-Light"/>
          <w:color w:val="auto"/>
          <w:sz w:val="22"/>
          <w:szCs w:val="22"/>
        </w:rPr>
        <w:t xml:space="preserve">, almost a quarter of </w:t>
      </w:r>
      <w:r w:rsidRPr="000F4CB4">
        <w:rPr>
          <w:rFonts w:asciiTheme="minorHAnsi" w:hAnsiTheme="minorHAnsi" w:cs="DaxOT-Medium"/>
          <w:color w:val="auto"/>
          <w:sz w:val="22"/>
          <w:szCs w:val="22"/>
        </w:rPr>
        <w:t xml:space="preserve">Wyndham adults (24.3%) </w:t>
      </w:r>
      <w:r w:rsidRPr="000F4CB4">
        <w:rPr>
          <w:rFonts w:asciiTheme="minorHAnsi" w:hAnsiTheme="minorHAnsi" w:cs="DaxOT-Light"/>
          <w:color w:val="auto"/>
          <w:sz w:val="22"/>
          <w:szCs w:val="22"/>
        </w:rPr>
        <w:t>had minimal or no social interactions during an average day.</w:t>
      </w:r>
    </w:p>
    <w:p w:rsidR="000F4CB4" w:rsidRPr="000F4CB4" w:rsidRDefault="000F4CB4" w:rsidP="000F4CB4">
      <w:pPr>
        <w:pStyle w:val="Default"/>
        <w:numPr>
          <w:ilvl w:val="0"/>
          <w:numId w:val="7"/>
        </w:numPr>
        <w:spacing w:line="276" w:lineRule="auto"/>
        <w:rPr>
          <w:rFonts w:asciiTheme="minorHAnsi" w:hAnsiTheme="minorHAnsi" w:cs="DaxOT-Light"/>
          <w:color w:val="auto"/>
          <w:sz w:val="22"/>
          <w:szCs w:val="22"/>
        </w:rPr>
      </w:pPr>
      <w:r w:rsidRPr="000F4CB4">
        <w:rPr>
          <w:rFonts w:asciiTheme="minorHAnsi" w:hAnsiTheme="minorHAnsi" w:cstheme="minorBidi"/>
          <w:color w:val="auto"/>
          <w:sz w:val="22"/>
          <w:szCs w:val="22"/>
        </w:rPr>
        <w:t xml:space="preserve">The prevalence of depression and anxiety </w:t>
      </w:r>
      <w:r w:rsidRPr="000F4CB4">
        <w:rPr>
          <w:rFonts w:asciiTheme="minorHAnsi" w:hAnsiTheme="minorHAnsi" w:cs="DaxOT-Light"/>
          <w:color w:val="auto"/>
          <w:sz w:val="22"/>
          <w:szCs w:val="22"/>
        </w:rPr>
        <w:t xml:space="preserve">among </w:t>
      </w:r>
      <w:r w:rsidRPr="000F4CB4">
        <w:rPr>
          <w:rFonts w:asciiTheme="minorHAnsi" w:hAnsiTheme="minorHAnsi" w:cs="DaxOT"/>
          <w:color w:val="auto"/>
          <w:sz w:val="22"/>
          <w:szCs w:val="22"/>
        </w:rPr>
        <w:t>Wyndham adults (23%) was lower than Victorian adults (24%) in 2014</w:t>
      </w:r>
      <w:r w:rsidRPr="000F4CB4">
        <w:rPr>
          <w:rFonts w:asciiTheme="minorHAnsi" w:hAnsiTheme="minorHAnsi" w:cs="DaxOT-Light"/>
          <w:color w:val="auto"/>
          <w:sz w:val="22"/>
          <w:szCs w:val="22"/>
        </w:rPr>
        <w:t xml:space="preserve">. </w:t>
      </w:r>
      <w:r w:rsidRPr="000F4CB4">
        <w:rPr>
          <w:rFonts w:asciiTheme="minorHAnsi" w:hAnsiTheme="minorHAnsi" w:cstheme="minorBidi"/>
          <w:color w:val="auto"/>
          <w:sz w:val="22"/>
          <w:szCs w:val="22"/>
        </w:rPr>
        <w:t xml:space="preserve"> </w:t>
      </w:r>
    </w:p>
    <w:p w:rsidR="000F4CB4" w:rsidRPr="000F4CB4" w:rsidRDefault="000F4CB4" w:rsidP="000F4CB4">
      <w:pPr>
        <w:pStyle w:val="Default"/>
        <w:numPr>
          <w:ilvl w:val="0"/>
          <w:numId w:val="7"/>
        </w:numPr>
        <w:spacing w:line="276" w:lineRule="auto"/>
        <w:rPr>
          <w:rFonts w:asciiTheme="minorHAnsi" w:hAnsiTheme="minorHAnsi" w:cs="DaxOT-Light"/>
          <w:color w:val="auto"/>
          <w:sz w:val="22"/>
          <w:szCs w:val="22"/>
        </w:rPr>
      </w:pPr>
      <w:r w:rsidRPr="000F4CB4">
        <w:rPr>
          <w:rFonts w:asciiTheme="minorHAnsi" w:hAnsiTheme="minorHAnsi" w:cstheme="minorBidi"/>
          <w:color w:val="auto"/>
          <w:sz w:val="22"/>
          <w:szCs w:val="22"/>
        </w:rPr>
        <w:t xml:space="preserve">The proportion of Wyndham adults experiencing </w:t>
      </w:r>
      <w:r w:rsidRPr="000F4CB4">
        <w:rPr>
          <w:rFonts w:asciiTheme="minorHAnsi" w:hAnsiTheme="minorHAnsi" w:cs="DaxOT"/>
          <w:color w:val="auto"/>
          <w:sz w:val="22"/>
          <w:szCs w:val="22"/>
        </w:rPr>
        <w:t xml:space="preserve">psychological distress is increasing at a greater rate than in Victoria, from </w:t>
      </w:r>
      <w:r w:rsidRPr="000F4CB4">
        <w:rPr>
          <w:rFonts w:asciiTheme="minorHAnsi" w:hAnsiTheme="minorHAnsi" w:cs="DaxOT-Medium"/>
          <w:color w:val="auto"/>
          <w:sz w:val="22"/>
          <w:szCs w:val="22"/>
        </w:rPr>
        <w:t>9</w:t>
      </w:r>
      <w:r w:rsidRPr="000F4CB4">
        <w:rPr>
          <w:rFonts w:asciiTheme="minorHAnsi" w:hAnsiTheme="minorHAnsi" w:cs="DaxOT"/>
          <w:color w:val="auto"/>
          <w:sz w:val="22"/>
          <w:szCs w:val="22"/>
        </w:rPr>
        <w:t xml:space="preserve">% </w:t>
      </w:r>
      <w:r w:rsidRPr="000F4CB4">
        <w:rPr>
          <w:rFonts w:asciiTheme="minorHAnsi" w:hAnsiTheme="minorHAnsi" w:cs="DaxOT-Medium"/>
          <w:color w:val="auto"/>
          <w:sz w:val="22"/>
          <w:szCs w:val="22"/>
        </w:rPr>
        <w:t xml:space="preserve">in 2011/12 </w:t>
      </w:r>
      <w:r w:rsidRPr="000F4CB4">
        <w:rPr>
          <w:rFonts w:asciiTheme="minorHAnsi" w:hAnsiTheme="minorHAnsi" w:cs="DaxOT"/>
          <w:color w:val="auto"/>
          <w:sz w:val="22"/>
          <w:szCs w:val="22"/>
        </w:rPr>
        <w:t xml:space="preserve">to </w:t>
      </w:r>
      <w:r w:rsidRPr="000F4CB4">
        <w:rPr>
          <w:rFonts w:asciiTheme="minorHAnsi" w:hAnsiTheme="minorHAnsi" w:cs="DaxOT-Medium"/>
          <w:color w:val="auto"/>
          <w:sz w:val="22"/>
          <w:szCs w:val="22"/>
        </w:rPr>
        <w:t>12</w:t>
      </w:r>
      <w:r w:rsidRPr="000F4CB4">
        <w:rPr>
          <w:rFonts w:asciiTheme="minorHAnsi" w:hAnsiTheme="minorHAnsi" w:cs="DaxOT"/>
          <w:color w:val="auto"/>
          <w:sz w:val="22"/>
          <w:szCs w:val="22"/>
        </w:rPr>
        <w:t xml:space="preserve">% in 2014. </w:t>
      </w:r>
    </w:p>
    <w:p w:rsidR="00E2228B" w:rsidRPr="000F4CB4" w:rsidRDefault="000F4CB4" w:rsidP="000F4CB4">
      <w:pPr>
        <w:pStyle w:val="Default"/>
        <w:numPr>
          <w:ilvl w:val="0"/>
          <w:numId w:val="7"/>
        </w:numPr>
        <w:spacing w:line="276" w:lineRule="auto"/>
        <w:rPr>
          <w:rFonts w:asciiTheme="minorHAnsi" w:hAnsiTheme="minorHAnsi" w:cs="DaxOT"/>
          <w:sz w:val="22"/>
          <w:szCs w:val="22"/>
        </w:rPr>
      </w:pPr>
      <w:r w:rsidRPr="000F4CB4">
        <w:rPr>
          <w:rFonts w:asciiTheme="minorHAnsi" w:hAnsiTheme="minorHAnsi" w:cstheme="minorBidi"/>
          <w:color w:val="auto"/>
          <w:sz w:val="22"/>
          <w:szCs w:val="22"/>
        </w:rPr>
        <w:t xml:space="preserve">A larger proportion of Victorian adults </w:t>
      </w:r>
      <w:r w:rsidRPr="000F4CB4">
        <w:rPr>
          <w:rFonts w:asciiTheme="minorHAnsi" w:hAnsiTheme="minorHAnsi" w:cs="DaxOT-Light"/>
          <w:color w:val="auto"/>
          <w:sz w:val="22"/>
          <w:szCs w:val="22"/>
        </w:rPr>
        <w:t xml:space="preserve">sought </w:t>
      </w:r>
      <w:r w:rsidRPr="000F4CB4">
        <w:rPr>
          <w:rFonts w:asciiTheme="minorHAnsi" w:hAnsiTheme="minorHAnsi" w:cs="DaxOT"/>
          <w:color w:val="auto"/>
          <w:sz w:val="22"/>
          <w:szCs w:val="22"/>
        </w:rPr>
        <w:t>assistance for a mental health related issue (16%) compared to adults in Wyndham (13%).</w:t>
      </w:r>
    </w:p>
    <w:p w:rsidR="000F4CB4" w:rsidRPr="000F4CB4" w:rsidRDefault="000F4CB4" w:rsidP="00BA24E2">
      <w:pPr>
        <w:pStyle w:val="Heading1"/>
        <w:rPr>
          <w:sz w:val="22"/>
          <w:szCs w:val="22"/>
        </w:rPr>
      </w:pPr>
    </w:p>
    <w:p w:rsidR="00E2228B" w:rsidRPr="00BA24E2" w:rsidRDefault="00E2228B" w:rsidP="00BA24E2">
      <w:pPr>
        <w:pStyle w:val="Heading1"/>
      </w:pPr>
      <w:r w:rsidRPr="00BA24E2">
        <w:t>Health</w:t>
      </w:r>
      <w:r w:rsidR="00FE78DC" w:rsidRPr="00BA24E2">
        <w:t>y</w:t>
      </w:r>
      <w:r w:rsidRPr="00BA24E2">
        <w:t xml:space="preserve"> Eating</w:t>
      </w:r>
    </w:p>
    <w:p w:rsidR="00D650A3" w:rsidRDefault="00D650A3" w:rsidP="00D650A3">
      <w:pPr>
        <w:autoSpaceDE w:val="0"/>
        <w:autoSpaceDN w:val="0"/>
        <w:adjustRightInd w:val="0"/>
        <w:spacing w:after="0"/>
        <w:rPr>
          <w:rFonts w:cs="DaxOT"/>
        </w:rPr>
      </w:pPr>
      <w:r w:rsidRPr="00D650A3">
        <w:t xml:space="preserve">Healthy eating is integral to our overall health and wellbeing. Wyndham has a larger proportion of residents who are not meeting the food and beverage recommendations </w:t>
      </w:r>
      <w:r w:rsidRPr="00D650A3">
        <w:rPr>
          <w:rFonts w:cs="DaxOT-Light"/>
        </w:rPr>
        <w:t>to achieve long term good health</w:t>
      </w:r>
      <w:r w:rsidRPr="00D650A3">
        <w:rPr>
          <w:rFonts w:cs="DaxOT"/>
        </w:rPr>
        <w:t>.</w:t>
      </w:r>
    </w:p>
    <w:p w:rsidR="000F4CB4" w:rsidRPr="00D650A3" w:rsidRDefault="000F4CB4" w:rsidP="00D650A3">
      <w:pPr>
        <w:autoSpaceDE w:val="0"/>
        <w:autoSpaceDN w:val="0"/>
        <w:adjustRightInd w:val="0"/>
        <w:spacing w:after="0"/>
        <w:rPr>
          <w:rFonts w:cs="DaxOT"/>
        </w:rPr>
      </w:pPr>
    </w:p>
    <w:p w:rsidR="00D650A3" w:rsidRPr="00D650A3" w:rsidRDefault="00D650A3" w:rsidP="00D650A3">
      <w:pPr>
        <w:pStyle w:val="ListParagraph"/>
        <w:numPr>
          <w:ilvl w:val="0"/>
          <w:numId w:val="19"/>
        </w:numPr>
        <w:autoSpaceDE w:val="0"/>
        <w:autoSpaceDN w:val="0"/>
        <w:adjustRightInd w:val="0"/>
        <w:spacing w:after="0"/>
      </w:pPr>
      <w:r w:rsidRPr="00D650A3">
        <w:t xml:space="preserve">Only 3% </w:t>
      </w:r>
      <w:r w:rsidRPr="00D650A3">
        <w:rPr>
          <w:rFonts w:cs="DaxOT"/>
        </w:rPr>
        <w:t xml:space="preserve">of Wyndham adults consume the recommended 5 serves of vegetables each day, which is considerably lower than the North </w:t>
      </w:r>
      <w:proofErr w:type="spellStart"/>
      <w:r w:rsidR="001539A8">
        <w:rPr>
          <w:rFonts w:cs="DaxOT"/>
        </w:rPr>
        <w:t>and</w:t>
      </w:r>
      <w:r w:rsidRPr="00D650A3">
        <w:rPr>
          <w:rFonts w:cs="DaxOT"/>
        </w:rPr>
        <w:t>West</w:t>
      </w:r>
      <w:proofErr w:type="spellEnd"/>
      <w:r w:rsidRPr="00D650A3">
        <w:rPr>
          <w:rFonts w:cs="DaxOT"/>
        </w:rPr>
        <w:t xml:space="preserve"> Metro area and Victoria.</w:t>
      </w:r>
    </w:p>
    <w:p w:rsidR="00D650A3" w:rsidRPr="00D650A3" w:rsidRDefault="00D650A3" w:rsidP="00D650A3">
      <w:pPr>
        <w:pStyle w:val="ListParagraph"/>
        <w:numPr>
          <w:ilvl w:val="0"/>
          <w:numId w:val="19"/>
        </w:numPr>
        <w:autoSpaceDE w:val="0"/>
        <w:autoSpaceDN w:val="0"/>
        <w:adjustRightInd w:val="0"/>
        <w:spacing w:after="0"/>
      </w:pPr>
      <w:r w:rsidRPr="00D650A3">
        <w:t xml:space="preserve">Less than half of all adults across Victoria consume the recommended 2 serves of fruit each day. This is lower in </w:t>
      </w:r>
      <w:r w:rsidRPr="00D650A3">
        <w:rPr>
          <w:rFonts w:cs="DaxOT"/>
        </w:rPr>
        <w:t xml:space="preserve">Wyndham (44%) than the North </w:t>
      </w:r>
      <w:r w:rsidRPr="00D650A3">
        <w:rPr>
          <w:rFonts w:cs="DaxOT-Light"/>
        </w:rPr>
        <w:t xml:space="preserve">and </w:t>
      </w:r>
      <w:r w:rsidRPr="00D650A3">
        <w:rPr>
          <w:rFonts w:cs="DaxOT"/>
        </w:rPr>
        <w:t>West Metro area and Victoria.</w:t>
      </w:r>
    </w:p>
    <w:p w:rsidR="00D650A3" w:rsidRPr="00D650A3" w:rsidRDefault="00D650A3" w:rsidP="00D650A3">
      <w:pPr>
        <w:pStyle w:val="ListParagraph"/>
        <w:numPr>
          <w:ilvl w:val="0"/>
          <w:numId w:val="19"/>
        </w:numPr>
        <w:autoSpaceDE w:val="0"/>
        <w:autoSpaceDN w:val="0"/>
        <w:adjustRightInd w:val="0"/>
        <w:spacing w:after="0"/>
      </w:pPr>
      <w:r w:rsidRPr="00D650A3">
        <w:t xml:space="preserve">Almost 75% </w:t>
      </w:r>
      <w:r w:rsidRPr="00D650A3">
        <w:rPr>
          <w:rFonts w:cs="DaxOT"/>
        </w:rPr>
        <w:t>of adults in Wyndham eat take-away meals once a week, which is higher than the 71% of adults Victoria wide.</w:t>
      </w:r>
    </w:p>
    <w:p w:rsidR="00D650A3" w:rsidRPr="00D650A3" w:rsidRDefault="00D650A3" w:rsidP="00D650A3">
      <w:pPr>
        <w:pStyle w:val="ListParagraph"/>
        <w:numPr>
          <w:ilvl w:val="0"/>
          <w:numId w:val="19"/>
        </w:numPr>
        <w:autoSpaceDE w:val="0"/>
        <w:autoSpaceDN w:val="0"/>
        <w:adjustRightInd w:val="0"/>
        <w:spacing w:after="0"/>
      </w:pPr>
      <w:r w:rsidRPr="00D650A3">
        <w:t xml:space="preserve">The percentage of adults drinking sugary drinks every day is higher in </w:t>
      </w:r>
      <w:r w:rsidRPr="00D650A3">
        <w:rPr>
          <w:rFonts w:cs="DaxOT"/>
        </w:rPr>
        <w:t>Wyndham (15%) than Victoria overall (11%).</w:t>
      </w:r>
    </w:p>
    <w:p w:rsidR="00D650A3" w:rsidRPr="00D650A3" w:rsidRDefault="00D650A3" w:rsidP="00D650A3">
      <w:pPr>
        <w:pStyle w:val="ListParagraph"/>
        <w:numPr>
          <w:ilvl w:val="0"/>
          <w:numId w:val="19"/>
        </w:numPr>
        <w:autoSpaceDE w:val="0"/>
        <w:autoSpaceDN w:val="0"/>
        <w:adjustRightInd w:val="0"/>
        <w:spacing w:after="0"/>
      </w:pPr>
      <w:r w:rsidRPr="00D650A3">
        <w:t xml:space="preserve">The proportion of Wyndham residents experiencing food insecurity is slowly increasing. The proportion of people over 15 years of age who ran out of food in the past 12 months increased from </w:t>
      </w:r>
      <w:r w:rsidRPr="00D650A3">
        <w:rPr>
          <w:rFonts w:cs="DaxOT-Medium"/>
        </w:rPr>
        <w:t>6</w:t>
      </w:r>
      <w:r w:rsidRPr="00D650A3">
        <w:rPr>
          <w:rFonts w:cs="DaxOT"/>
        </w:rPr>
        <w:t xml:space="preserve">% in 2008 to </w:t>
      </w:r>
      <w:r w:rsidRPr="00D650A3">
        <w:rPr>
          <w:rFonts w:cs="DaxOT-Medium"/>
        </w:rPr>
        <w:t>7</w:t>
      </w:r>
      <w:r w:rsidRPr="00D650A3">
        <w:rPr>
          <w:rFonts w:cs="DaxOT"/>
        </w:rPr>
        <w:t>% in 2015.</w:t>
      </w:r>
    </w:p>
    <w:p w:rsidR="00BA24E2" w:rsidRPr="000167FE" w:rsidRDefault="00BA24E2" w:rsidP="00E2228B">
      <w:pPr>
        <w:pStyle w:val="Default"/>
        <w:spacing w:line="276" w:lineRule="auto"/>
        <w:ind w:left="720"/>
        <w:rPr>
          <w:rFonts w:asciiTheme="minorHAnsi" w:hAnsiTheme="minorHAnsi" w:cs="DaxOT"/>
          <w:color w:val="auto"/>
          <w:sz w:val="22"/>
          <w:szCs w:val="22"/>
        </w:rPr>
      </w:pPr>
    </w:p>
    <w:p w:rsidR="00E2228B" w:rsidRPr="00BA24E2" w:rsidRDefault="00E2228B" w:rsidP="00BA24E2">
      <w:pPr>
        <w:pStyle w:val="Heading1"/>
      </w:pPr>
      <w:r w:rsidRPr="00BA24E2">
        <w:t>Substance Abuse and Gambling</w:t>
      </w:r>
    </w:p>
    <w:p w:rsidR="00A31C8C" w:rsidRPr="00A31C8C" w:rsidRDefault="00A31C8C" w:rsidP="00A31C8C">
      <w:pPr>
        <w:autoSpaceDE w:val="0"/>
        <w:autoSpaceDN w:val="0"/>
        <w:adjustRightInd w:val="0"/>
        <w:spacing w:after="0"/>
        <w:rPr>
          <w:rFonts w:cs="DaxOT"/>
        </w:rPr>
      </w:pPr>
      <w:r w:rsidRPr="00A31C8C">
        <w:t>The World Health Organisation defines ‘substance abuse’ as the harmful use of psychoactive substances, including alcohol, illicit drugs and tobacco</w:t>
      </w:r>
      <w:r w:rsidRPr="00A31C8C">
        <w:rPr>
          <w:rFonts w:cs="DaxOT"/>
        </w:rPr>
        <w:t xml:space="preserve">. Regular and long-term substance use is often not just the symptom of a user’s condition but also the cause, creating a cycle of difficulties. Similarly, the effects of substance abuse are not isolated, and research indicates that heavy consumption of alcohol, drugs and tobacco are closely related to a range of </w:t>
      </w:r>
      <w:r w:rsidRPr="00A31C8C">
        <w:rPr>
          <w:rFonts w:cs="DaxOT-Light"/>
        </w:rPr>
        <w:t xml:space="preserve">short and long term </w:t>
      </w:r>
      <w:r w:rsidRPr="00A31C8C">
        <w:rPr>
          <w:rFonts w:cs="DaxOT"/>
        </w:rPr>
        <w:t>health issues. Like other addictions, gambling addiction negatively affects the person, their family and friends, as well as the wider community.</w:t>
      </w:r>
    </w:p>
    <w:p w:rsidR="00A31C8C" w:rsidRPr="00A31C8C" w:rsidRDefault="00A31C8C" w:rsidP="00A31C8C">
      <w:pPr>
        <w:autoSpaceDE w:val="0"/>
        <w:autoSpaceDN w:val="0"/>
        <w:adjustRightInd w:val="0"/>
        <w:spacing w:after="0"/>
        <w:rPr>
          <w:rFonts w:cs="DaxOT"/>
        </w:rPr>
      </w:pPr>
    </w:p>
    <w:p w:rsidR="00A31C8C" w:rsidRPr="00A31C8C" w:rsidRDefault="00A31C8C" w:rsidP="00A31C8C">
      <w:pPr>
        <w:pStyle w:val="Default"/>
        <w:numPr>
          <w:ilvl w:val="0"/>
          <w:numId w:val="9"/>
        </w:numPr>
        <w:spacing w:line="276" w:lineRule="auto"/>
        <w:rPr>
          <w:rFonts w:asciiTheme="minorHAnsi" w:hAnsiTheme="minorHAnsi" w:cs="DaxOT"/>
          <w:color w:val="auto"/>
          <w:sz w:val="22"/>
          <w:szCs w:val="22"/>
        </w:rPr>
      </w:pPr>
      <w:r w:rsidRPr="00A31C8C">
        <w:rPr>
          <w:rFonts w:asciiTheme="minorHAnsi" w:hAnsiTheme="minorHAnsi" w:cstheme="minorBidi"/>
          <w:color w:val="auto"/>
          <w:sz w:val="22"/>
          <w:szCs w:val="22"/>
        </w:rPr>
        <w:lastRenderedPageBreak/>
        <w:t xml:space="preserve">Although just over half the adult population of </w:t>
      </w:r>
      <w:r w:rsidRPr="00A31C8C">
        <w:rPr>
          <w:rFonts w:asciiTheme="minorHAnsi" w:hAnsiTheme="minorHAnsi" w:cs="DaxOT"/>
          <w:color w:val="auto"/>
          <w:sz w:val="22"/>
          <w:szCs w:val="22"/>
        </w:rPr>
        <w:t>Wyndham (52%) face an increased risk of alcohol-related harm due to drinking behaviour, this is lower than the North</w:t>
      </w:r>
      <w:r w:rsidR="008F4C7C">
        <w:rPr>
          <w:rFonts w:asciiTheme="minorHAnsi" w:hAnsiTheme="minorHAnsi" w:cs="DaxOT"/>
          <w:color w:val="auto"/>
          <w:sz w:val="22"/>
          <w:szCs w:val="22"/>
        </w:rPr>
        <w:t xml:space="preserve"> and</w:t>
      </w:r>
      <w:r w:rsidRPr="00A31C8C">
        <w:rPr>
          <w:rFonts w:asciiTheme="minorHAnsi" w:hAnsiTheme="minorHAnsi" w:cs="DaxOT"/>
          <w:color w:val="auto"/>
          <w:sz w:val="22"/>
          <w:szCs w:val="22"/>
        </w:rPr>
        <w:t xml:space="preserve"> West Metro </w:t>
      </w:r>
      <w:r w:rsidRPr="00A31C8C">
        <w:rPr>
          <w:rFonts w:asciiTheme="minorHAnsi" w:hAnsiTheme="minorHAnsi" w:cs="DaxOT-Light"/>
          <w:color w:val="auto"/>
          <w:sz w:val="22"/>
          <w:szCs w:val="22"/>
        </w:rPr>
        <w:t xml:space="preserve">area </w:t>
      </w:r>
      <w:r w:rsidRPr="00A31C8C">
        <w:rPr>
          <w:rFonts w:asciiTheme="minorHAnsi" w:hAnsiTheme="minorHAnsi" w:cs="DaxOT"/>
          <w:color w:val="auto"/>
          <w:sz w:val="22"/>
          <w:szCs w:val="22"/>
        </w:rPr>
        <w:t xml:space="preserve">and Victoria in general. </w:t>
      </w:r>
    </w:p>
    <w:p w:rsidR="00A31C8C" w:rsidRPr="00A31C8C" w:rsidRDefault="00A31C8C" w:rsidP="00A31C8C">
      <w:pPr>
        <w:pStyle w:val="Default"/>
        <w:numPr>
          <w:ilvl w:val="0"/>
          <w:numId w:val="9"/>
        </w:numPr>
        <w:spacing w:line="276" w:lineRule="auto"/>
        <w:rPr>
          <w:rFonts w:asciiTheme="minorHAnsi" w:hAnsiTheme="minorHAnsi" w:cstheme="minorBidi"/>
          <w:color w:val="auto"/>
          <w:sz w:val="22"/>
          <w:szCs w:val="22"/>
        </w:rPr>
      </w:pPr>
      <w:r w:rsidRPr="00A31C8C">
        <w:rPr>
          <w:rFonts w:asciiTheme="minorHAnsi" w:hAnsiTheme="minorHAnsi" w:cstheme="minorBidi"/>
          <w:color w:val="auto"/>
          <w:sz w:val="22"/>
          <w:szCs w:val="22"/>
        </w:rPr>
        <w:t xml:space="preserve">Around </w:t>
      </w:r>
      <w:r w:rsidRPr="00A31C8C">
        <w:rPr>
          <w:rFonts w:asciiTheme="minorHAnsi" w:hAnsiTheme="minorHAnsi" w:cs="DaxOT"/>
          <w:color w:val="auto"/>
          <w:sz w:val="22"/>
          <w:szCs w:val="22"/>
        </w:rPr>
        <w:t xml:space="preserve">13% of adults in Wyndham smoke, which is similar to the rates in the North </w:t>
      </w:r>
      <w:r w:rsidRPr="00A31C8C">
        <w:rPr>
          <w:rFonts w:asciiTheme="minorHAnsi" w:hAnsiTheme="minorHAnsi" w:cs="DaxOT-Light"/>
          <w:color w:val="auto"/>
          <w:sz w:val="22"/>
          <w:szCs w:val="22"/>
        </w:rPr>
        <w:t xml:space="preserve">and </w:t>
      </w:r>
      <w:r w:rsidRPr="00A31C8C">
        <w:rPr>
          <w:rFonts w:asciiTheme="minorHAnsi" w:hAnsiTheme="minorHAnsi" w:cs="DaxOT"/>
          <w:color w:val="auto"/>
          <w:sz w:val="22"/>
          <w:szCs w:val="22"/>
        </w:rPr>
        <w:t xml:space="preserve">West Metro </w:t>
      </w:r>
      <w:r w:rsidR="008F4C7C">
        <w:rPr>
          <w:rFonts w:asciiTheme="minorHAnsi" w:hAnsiTheme="minorHAnsi" w:cs="DaxOT"/>
          <w:color w:val="auto"/>
          <w:sz w:val="22"/>
          <w:szCs w:val="22"/>
        </w:rPr>
        <w:t>area</w:t>
      </w:r>
      <w:r w:rsidRPr="00A31C8C">
        <w:rPr>
          <w:rFonts w:asciiTheme="minorHAnsi" w:hAnsiTheme="minorHAnsi" w:cs="DaxOT"/>
          <w:color w:val="auto"/>
          <w:sz w:val="22"/>
          <w:szCs w:val="22"/>
        </w:rPr>
        <w:t xml:space="preserve"> and across the state</w:t>
      </w:r>
      <w:r w:rsidRPr="00A31C8C">
        <w:rPr>
          <w:rFonts w:asciiTheme="minorHAnsi" w:hAnsiTheme="minorHAnsi" w:cs="DaxOT-Light"/>
          <w:color w:val="auto"/>
          <w:sz w:val="22"/>
          <w:szCs w:val="22"/>
        </w:rPr>
        <w:t xml:space="preserve">. The number of smokers in Wyndham has </w:t>
      </w:r>
      <w:r w:rsidRPr="00A31C8C">
        <w:rPr>
          <w:rFonts w:asciiTheme="minorHAnsi" w:hAnsiTheme="minorHAnsi" w:cs="DaxOT-Bold"/>
          <w:bCs/>
          <w:color w:val="auto"/>
          <w:sz w:val="22"/>
          <w:szCs w:val="22"/>
        </w:rPr>
        <w:t xml:space="preserve">decreased </w:t>
      </w:r>
      <w:r w:rsidRPr="00A31C8C">
        <w:rPr>
          <w:rFonts w:asciiTheme="minorHAnsi" w:hAnsiTheme="minorHAnsi" w:cs="DaxOT"/>
          <w:color w:val="auto"/>
          <w:sz w:val="22"/>
          <w:szCs w:val="22"/>
        </w:rPr>
        <w:t xml:space="preserve">at a much </w:t>
      </w:r>
      <w:r w:rsidRPr="00A31C8C">
        <w:rPr>
          <w:rFonts w:asciiTheme="minorHAnsi" w:hAnsiTheme="minorHAnsi" w:cs="DaxOT-Bold"/>
          <w:bCs/>
          <w:color w:val="auto"/>
          <w:sz w:val="22"/>
          <w:szCs w:val="22"/>
        </w:rPr>
        <w:t>greater rate</w:t>
      </w:r>
      <w:r w:rsidRPr="00A31C8C">
        <w:rPr>
          <w:rFonts w:asciiTheme="minorHAnsi" w:hAnsiTheme="minorHAnsi" w:cs="DaxOT"/>
          <w:color w:val="auto"/>
          <w:sz w:val="22"/>
          <w:szCs w:val="22"/>
        </w:rPr>
        <w:t xml:space="preserve">. </w:t>
      </w:r>
    </w:p>
    <w:p w:rsidR="00A31C8C" w:rsidRPr="00A31C8C" w:rsidRDefault="00A31C8C" w:rsidP="00A31C8C">
      <w:pPr>
        <w:pStyle w:val="Default"/>
        <w:numPr>
          <w:ilvl w:val="0"/>
          <w:numId w:val="9"/>
        </w:numPr>
        <w:spacing w:line="276" w:lineRule="auto"/>
        <w:rPr>
          <w:rFonts w:asciiTheme="minorHAnsi" w:hAnsiTheme="minorHAnsi" w:cs="DaxOT"/>
          <w:color w:val="auto"/>
          <w:sz w:val="22"/>
          <w:szCs w:val="22"/>
        </w:rPr>
      </w:pPr>
      <w:r w:rsidRPr="00A31C8C">
        <w:rPr>
          <w:rFonts w:asciiTheme="minorHAnsi" w:hAnsiTheme="minorHAnsi" w:cstheme="minorBidi"/>
          <w:color w:val="auto"/>
          <w:sz w:val="22"/>
          <w:szCs w:val="22"/>
        </w:rPr>
        <w:t xml:space="preserve">Admissions to hospital for illicit drug related incidents in Wyndham are high in relation to other </w:t>
      </w:r>
      <w:r w:rsidRPr="00A31C8C">
        <w:rPr>
          <w:rFonts w:asciiTheme="minorHAnsi" w:hAnsiTheme="minorHAnsi" w:cs="DaxOT-Light"/>
          <w:color w:val="auto"/>
          <w:sz w:val="22"/>
          <w:szCs w:val="22"/>
        </w:rPr>
        <w:t xml:space="preserve">Victorian </w:t>
      </w:r>
      <w:r w:rsidRPr="00A31C8C">
        <w:rPr>
          <w:rFonts w:asciiTheme="minorHAnsi" w:hAnsiTheme="minorHAnsi" w:cs="DaxOT"/>
          <w:color w:val="auto"/>
          <w:sz w:val="22"/>
          <w:szCs w:val="22"/>
        </w:rPr>
        <w:t>L</w:t>
      </w:r>
      <w:r w:rsidRPr="00A31C8C">
        <w:rPr>
          <w:rFonts w:asciiTheme="minorHAnsi" w:hAnsiTheme="minorHAnsi" w:cs="DaxOT-Light"/>
          <w:color w:val="auto"/>
          <w:sz w:val="22"/>
          <w:szCs w:val="22"/>
        </w:rPr>
        <w:t>ocal Government Area</w:t>
      </w:r>
      <w:r w:rsidRPr="00A31C8C">
        <w:rPr>
          <w:rFonts w:asciiTheme="minorHAnsi" w:hAnsiTheme="minorHAnsi" w:cs="DaxOT"/>
          <w:color w:val="auto"/>
          <w:sz w:val="22"/>
          <w:szCs w:val="22"/>
        </w:rPr>
        <w:t xml:space="preserve">s. </w:t>
      </w:r>
    </w:p>
    <w:p w:rsidR="00E2228B" w:rsidRPr="00A31C8C" w:rsidRDefault="00A31C8C" w:rsidP="00A31C8C">
      <w:pPr>
        <w:pStyle w:val="ListParagraph"/>
        <w:numPr>
          <w:ilvl w:val="0"/>
          <w:numId w:val="9"/>
        </w:numPr>
        <w:rPr>
          <w:rFonts w:cs="DaxOT"/>
        </w:rPr>
      </w:pPr>
      <w:r w:rsidRPr="00A31C8C">
        <w:t xml:space="preserve">Not only are </w:t>
      </w:r>
      <w:r w:rsidRPr="00A31C8C">
        <w:rPr>
          <w:rFonts w:cs="DaxOT-Bold"/>
          <w:bCs/>
        </w:rPr>
        <w:t xml:space="preserve">Electronic Gaming Machine losses </w:t>
      </w:r>
      <w:r w:rsidRPr="00A31C8C">
        <w:rPr>
          <w:rFonts w:cs="DaxOT"/>
        </w:rPr>
        <w:t xml:space="preserve">per adult </w:t>
      </w:r>
      <w:r w:rsidRPr="00A31C8C">
        <w:rPr>
          <w:rFonts w:cs="DaxOT-Bold"/>
          <w:bCs/>
        </w:rPr>
        <w:t xml:space="preserve">higher in Wyndham </w:t>
      </w:r>
      <w:r w:rsidRPr="00A31C8C">
        <w:rPr>
          <w:rFonts w:cs="DaxOT"/>
        </w:rPr>
        <w:t>than in Victoria, but are also increasing at a faster rate.</w:t>
      </w:r>
    </w:p>
    <w:p w:rsidR="004308C1" w:rsidRPr="00BA24E2" w:rsidRDefault="004308C1" w:rsidP="00BA24E2">
      <w:pPr>
        <w:pStyle w:val="Heading1"/>
      </w:pPr>
      <w:r w:rsidRPr="00BA24E2">
        <w:t>References</w:t>
      </w:r>
    </w:p>
    <w:p w:rsidR="008D01EE"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0F4E28">
        <w:rPr>
          <w:rStyle w:val="A12"/>
          <w:rFonts w:cs="DaxOT-Light"/>
          <w:sz w:val="22"/>
          <w:szCs w:val="22"/>
        </w:rPr>
        <w:t>Australian Bureau of Statistics. (2011).</w:t>
      </w:r>
      <w:r w:rsidRPr="000F4E28">
        <w:rPr>
          <w:rStyle w:val="A12"/>
          <w:rFonts w:cs="DaxOT-Light"/>
          <w:i/>
          <w:sz w:val="22"/>
          <w:szCs w:val="22"/>
        </w:rPr>
        <w:t xml:space="preserve"> Census of Population and Housing</w:t>
      </w:r>
      <w:r w:rsidRPr="000F4E28">
        <w:rPr>
          <w:rStyle w:val="A12"/>
          <w:rFonts w:cs="DaxOT-Light"/>
          <w:sz w:val="22"/>
          <w:szCs w:val="22"/>
        </w:rPr>
        <w:t>. Retrieved from</w:t>
      </w:r>
      <w:r>
        <w:rPr>
          <w:rStyle w:val="A12"/>
          <w:rFonts w:cs="DaxOT-Light"/>
          <w:sz w:val="22"/>
          <w:szCs w:val="22"/>
        </w:rPr>
        <w:t xml:space="preserve"> Community Indicators Victoria </w:t>
      </w:r>
      <w:hyperlink r:id="rId11" w:history="1">
        <w:r w:rsidRPr="00DF3FC3">
          <w:rPr>
            <w:rStyle w:val="Hyperlink"/>
            <w:rFonts w:cs="DaxOT-Light"/>
          </w:rPr>
          <w:t>http://www.communityindicators.net.au/</w:t>
        </w:r>
      </w:hyperlink>
      <w:r>
        <w:rPr>
          <w:rStyle w:val="A12"/>
          <w:rFonts w:cs="DaxOT-Light"/>
          <w:sz w:val="22"/>
          <w:szCs w:val="22"/>
        </w:rPr>
        <w:t xml:space="preserve"> </w:t>
      </w:r>
    </w:p>
    <w:p w:rsidR="008D01EE" w:rsidRPr="00471BCD"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471BCD">
        <w:rPr>
          <w:rStyle w:val="A12"/>
          <w:color w:val="auto"/>
          <w:sz w:val="22"/>
          <w:szCs w:val="22"/>
        </w:rPr>
        <w:t>Australian Bureau of Statistics</w:t>
      </w:r>
      <w:r w:rsidRPr="00471BCD">
        <w:rPr>
          <w:rStyle w:val="A12"/>
          <w:rFonts w:cs="DaxOT-Light"/>
          <w:color w:val="auto"/>
          <w:sz w:val="22"/>
          <w:szCs w:val="22"/>
        </w:rPr>
        <w:t xml:space="preserve">. (2011). </w:t>
      </w:r>
      <w:r w:rsidRPr="00471BCD">
        <w:rPr>
          <w:rStyle w:val="A12"/>
          <w:rFonts w:cs="DaxOT-Regular"/>
          <w:i/>
          <w:color w:val="auto"/>
          <w:sz w:val="22"/>
          <w:szCs w:val="22"/>
        </w:rPr>
        <w:t xml:space="preserve">Census </w:t>
      </w:r>
      <w:r w:rsidRPr="00471BCD">
        <w:rPr>
          <w:rStyle w:val="A12"/>
          <w:rFonts w:cs="DaxOT-Light"/>
          <w:i/>
          <w:color w:val="auto"/>
          <w:sz w:val="22"/>
          <w:szCs w:val="22"/>
        </w:rPr>
        <w:t>of Population and Housing</w:t>
      </w:r>
      <w:r w:rsidRPr="00471BCD">
        <w:rPr>
          <w:rStyle w:val="A12"/>
          <w:rFonts w:cs="DaxOT-Light"/>
          <w:color w:val="auto"/>
          <w:sz w:val="22"/>
          <w:szCs w:val="22"/>
        </w:rPr>
        <w:t xml:space="preserve">. Retrieved from </w:t>
      </w:r>
      <w:hyperlink r:id="rId12" w:history="1">
        <w:r w:rsidRPr="00471BCD">
          <w:rPr>
            <w:rStyle w:val="Hyperlink"/>
            <w:rFonts w:cs="DaxOT-Light"/>
          </w:rPr>
          <w:t>http://www.abs.gov.au/websitedbs/censushome.nsf/home/tablebuilder</w:t>
        </w:r>
      </w:hyperlink>
    </w:p>
    <w:p w:rsidR="00B150CC" w:rsidRPr="000F4E28" w:rsidRDefault="00B150CC" w:rsidP="00B150CC">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0F4E28">
        <w:rPr>
          <w:rFonts w:cs="DaxOT"/>
        </w:rPr>
        <w:t xml:space="preserve">Australian Bureau of Statistics. (2011). </w:t>
      </w:r>
      <w:r w:rsidRPr="000F4E28">
        <w:rPr>
          <w:rFonts w:cs="DaxOT"/>
          <w:i/>
        </w:rPr>
        <w:t>Census of Population and Housing</w:t>
      </w:r>
      <w:r w:rsidRPr="000F4E28">
        <w:rPr>
          <w:rFonts w:cs="DaxOT-Light"/>
        </w:rPr>
        <w:t xml:space="preserve">. Retrieved from </w:t>
      </w:r>
      <w:hyperlink r:id="rId13" w:history="1">
        <w:r w:rsidRPr="000F4E28">
          <w:rPr>
            <w:rStyle w:val="Hyperlink"/>
            <w:rFonts w:cs="DaxOT-Light"/>
          </w:rPr>
          <w:t>http://atlas.id.com.au/wyndham</w:t>
        </w:r>
      </w:hyperlink>
    </w:p>
    <w:p w:rsidR="008D01EE" w:rsidRPr="000F4E28" w:rsidRDefault="008D01EE" w:rsidP="008D01EE">
      <w:pPr>
        <w:pStyle w:val="ListParagraph"/>
        <w:numPr>
          <w:ilvl w:val="0"/>
          <w:numId w:val="20"/>
        </w:numPr>
        <w:autoSpaceDE w:val="0"/>
        <w:autoSpaceDN w:val="0"/>
        <w:adjustRightInd w:val="0"/>
        <w:spacing w:before="120" w:after="120" w:line="240" w:lineRule="auto"/>
      </w:pPr>
      <w:r w:rsidRPr="000F4E28">
        <w:t xml:space="preserve">Australian Bureau of Statistics. (2011). </w:t>
      </w:r>
      <w:r w:rsidRPr="000F4E28">
        <w:rPr>
          <w:i/>
        </w:rPr>
        <w:t>Census of Population and Housing</w:t>
      </w:r>
      <w:r w:rsidRPr="000F4E28">
        <w:t>. Retrieved</w:t>
      </w:r>
      <w:r>
        <w:t xml:space="preserve"> from </w:t>
      </w:r>
      <w:hyperlink r:id="rId14" w:history="1">
        <w:r w:rsidRPr="00DF3FC3">
          <w:rPr>
            <w:rStyle w:val="Hyperlink"/>
          </w:rPr>
          <w:t>http://profile.id.com.au/wyndham</w:t>
        </w:r>
      </w:hyperlink>
      <w:r>
        <w:t xml:space="preserve"> </w:t>
      </w:r>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rPr>
      </w:pPr>
      <w:r w:rsidRPr="000F4E28">
        <w:t xml:space="preserve">Australian Bureau of Statistics. (2011). </w:t>
      </w:r>
      <w:r w:rsidRPr="000F4E28">
        <w:rPr>
          <w:i/>
        </w:rPr>
        <w:t>Census of Population and Housing</w:t>
      </w:r>
      <w:r w:rsidRPr="000F4E28">
        <w:rPr>
          <w:rFonts w:cs="DaxOT-Light"/>
          <w:i/>
        </w:rPr>
        <w:t xml:space="preserve"> - Community Profiles - Wyndham.</w:t>
      </w:r>
      <w:r w:rsidRPr="000F4E28">
        <w:rPr>
          <w:rFonts w:cs="DaxOT-Light"/>
        </w:rPr>
        <w:t xml:space="preserve"> Ca</w:t>
      </w:r>
      <w:r w:rsidRPr="000F4E28">
        <w:rPr>
          <w:rFonts w:cs="DaxOT"/>
        </w:rPr>
        <w:t>t no. 2001.0. R</w:t>
      </w:r>
      <w:r w:rsidRPr="000F4E28">
        <w:rPr>
          <w:rFonts w:cs="DaxOT-Light"/>
        </w:rPr>
        <w:t xml:space="preserve">etrieved </w:t>
      </w:r>
      <w:r>
        <w:rPr>
          <w:rFonts w:cs="DaxOT-Light"/>
        </w:rPr>
        <w:t>from http://</w:t>
      </w:r>
      <w:hyperlink r:id="rId15" w:history="1">
        <w:r w:rsidRPr="000F4E28">
          <w:rPr>
            <w:rStyle w:val="Hyperlink"/>
            <w:rFonts w:cs="DaxOT-Light"/>
          </w:rPr>
          <w:t>www.censusdata.abs.gov.au/census_services/getproduct/census/2011/communityprofile/21305?opendocument&amp;navpos=220</w:t>
        </w:r>
      </w:hyperlink>
      <w:r w:rsidRPr="000F4E28">
        <w:rPr>
          <w:rFonts w:cs="DaxOT-Light"/>
        </w:rPr>
        <w:t xml:space="preserve"> </w:t>
      </w:r>
    </w:p>
    <w:p w:rsidR="00B150CC" w:rsidRDefault="00B150CC" w:rsidP="00B150CC">
      <w:pPr>
        <w:pStyle w:val="ListParagraph"/>
        <w:numPr>
          <w:ilvl w:val="0"/>
          <w:numId w:val="20"/>
        </w:numPr>
        <w:autoSpaceDE w:val="0"/>
        <w:autoSpaceDN w:val="0"/>
        <w:adjustRightInd w:val="0"/>
        <w:spacing w:before="120" w:after="120" w:line="240" w:lineRule="auto"/>
        <w:rPr>
          <w:rFonts w:cs="DaxOT-Light"/>
        </w:rPr>
      </w:pPr>
      <w:r w:rsidRPr="000F4E28">
        <w:rPr>
          <w:rFonts w:cs="DaxOT"/>
        </w:rPr>
        <w:t>Australian Bureau of Statistics. (2011</w:t>
      </w:r>
      <w:r w:rsidRPr="000F4E28">
        <w:rPr>
          <w:rFonts w:cs="DaxOT"/>
          <w:i/>
        </w:rPr>
        <w:t xml:space="preserve">). </w:t>
      </w:r>
      <w:r w:rsidRPr="00B150CC">
        <w:rPr>
          <w:rFonts w:cs="DaxOT-Light"/>
          <w:i/>
        </w:rPr>
        <w:t>Census of Population and Housing - Index of Relative Socio Economic Disadvantage</w:t>
      </w:r>
      <w:r>
        <w:rPr>
          <w:rFonts w:cs="DaxOT-Light"/>
        </w:rPr>
        <w:t xml:space="preserve">. Retrieved from </w:t>
      </w:r>
      <w:hyperlink r:id="rId16" w:history="1">
        <w:r w:rsidRPr="000F4E28">
          <w:rPr>
            <w:rStyle w:val="Hyperlink"/>
            <w:rFonts w:cs="DaxOT-Light"/>
          </w:rPr>
          <w:t>http://atlas.id.com.au/wyndham#MapNo=10013&amp;SexKey=3&amp;datatype=2&amp;themtype=2&amp;topicAlias=socio-economic-disadvantage&amp;year=2011</w:t>
        </w:r>
      </w:hyperlink>
      <w:r w:rsidRPr="000F4E28">
        <w:rPr>
          <w:rFonts w:cs="DaxOT-Light"/>
        </w:rPr>
        <w:t xml:space="preserve"> </w:t>
      </w:r>
    </w:p>
    <w:p w:rsidR="008D01EE" w:rsidRPr="000F4E28" w:rsidRDefault="008D01EE" w:rsidP="008D01EE">
      <w:pPr>
        <w:pStyle w:val="ListParagraph"/>
        <w:numPr>
          <w:ilvl w:val="0"/>
          <w:numId w:val="20"/>
        </w:numPr>
        <w:autoSpaceDE w:val="0"/>
        <w:autoSpaceDN w:val="0"/>
        <w:adjustRightInd w:val="0"/>
        <w:spacing w:before="120" w:after="120" w:line="240" w:lineRule="auto"/>
      </w:pPr>
      <w:r w:rsidRPr="000F4E28">
        <w:t xml:space="preserve">Australia Bureau of Statistics. (2017). </w:t>
      </w:r>
      <w:r w:rsidRPr="000F4E28">
        <w:rPr>
          <w:i/>
        </w:rPr>
        <w:t>Labour Force Australia</w:t>
      </w:r>
      <w:r w:rsidRPr="000F4E28">
        <w:t xml:space="preserve">. CAT 6202.0. Retrieved from </w:t>
      </w:r>
      <w:hyperlink r:id="rId17" w:history="1">
        <w:r w:rsidRPr="00DF3FC3">
          <w:rPr>
            <w:rStyle w:val="Hyperlink"/>
          </w:rPr>
          <w:t>http://www.abs.gov.au/ausstats/abs@.nsf/mf/6202.0</w:t>
        </w:r>
      </w:hyperlink>
      <w:r>
        <w:t xml:space="preserve"> </w:t>
      </w:r>
    </w:p>
    <w:p w:rsidR="008D01EE" w:rsidRDefault="008D01EE" w:rsidP="008D01EE">
      <w:pPr>
        <w:pStyle w:val="ListParagraph"/>
        <w:numPr>
          <w:ilvl w:val="0"/>
          <w:numId w:val="20"/>
        </w:numPr>
        <w:autoSpaceDE w:val="0"/>
        <w:autoSpaceDN w:val="0"/>
        <w:adjustRightInd w:val="0"/>
        <w:spacing w:before="120" w:after="120" w:line="240" w:lineRule="auto"/>
        <w:rPr>
          <w:rStyle w:val="A11"/>
          <w:rFonts w:cs="DaxOT-Light"/>
        </w:rPr>
      </w:pPr>
      <w:r w:rsidRPr="000F4E28">
        <w:rPr>
          <w:rStyle w:val="A11"/>
          <w:rFonts w:cs="DaxOT-Light"/>
        </w:rPr>
        <w:t>Australian Early Development Census. (2015).</w:t>
      </w:r>
      <w:r w:rsidRPr="000F4E28">
        <w:rPr>
          <w:rStyle w:val="A11"/>
          <w:rFonts w:cs="DaxOT-Light"/>
          <w:i/>
        </w:rPr>
        <w:t>Percentage developmentally vulnerable in 2015</w:t>
      </w:r>
      <w:r w:rsidRPr="000F4E28">
        <w:rPr>
          <w:rStyle w:val="A11"/>
          <w:rFonts w:cs="DaxOT-Light"/>
        </w:rPr>
        <w:t xml:space="preserve">. Retrieved from </w:t>
      </w:r>
      <w:hyperlink r:id="rId18" w:history="1">
        <w:r w:rsidRPr="000F4E28">
          <w:rPr>
            <w:rStyle w:val="Hyperlink"/>
            <w:rFonts w:cs="DaxOT-Light"/>
          </w:rPr>
          <w:t>http://www.aedc.gov.au/data/data-explorer?id=62199</w:t>
        </w:r>
      </w:hyperlink>
    </w:p>
    <w:p w:rsidR="008D01EE" w:rsidRPr="00471BCD"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471BCD">
        <w:rPr>
          <w:rFonts w:cs="DaxOT-Light"/>
        </w:rPr>
        <w:t xml:space="preserve">Australian Institute of Health and Welfare (2011). </w:t>
      </w:r>
      <w:r w:rsidRPr="00B150CC">
        <w:rPr>
          <w:rFonts w:cs="DaxOT-Light"/>
          <w:i/>
        </w:rPr>
        <w:t>Burden of disease</w:t>
      </w:r>
      <w:r w:rsidRPr="00471BCD">
        <w:rPr>
          <w:rFonts w:cs="DaxOT-Light"/>
        </w:rPr>
        <w:t xml:space="preserve">. Retrieved from </w:t>
      </w:r>
      <w:hyperlink r:id="rId19" w:history="1">
        <w:r w:rsidRPr="00471BCD">
          <w:rPr>
            <w:rStyle w:val="Hyperlink"/>
            <w:rFonts w:cs="DaxOT-Light"/>
          </w:rPr>
          <w:t>http://www.aihw.gov.au/burden-of-disease/</w:t>
        </w:r>
      </w:hyperlink>
    </w:p>
    <w:p w:rsidR="008D01EE" w:rsidRPr="00471BCD" w:rsidRDefault="008D01EE" w:rsidP="008D01EE">
      <w:pPr>
        <w:pStyle w:val="ListParagraph"/>
        <w:numPr>
          <w:ilvl w:val="0"/>
          <w:numId w:val="20"/>
        </w:numPr>
        <w:autoSpaceDE w:val="0"/>
        <w:autoSpaceDN w:val="0"/>
        <w:adjustRightInd w:val="0"/>
        <w:spacing w:before="120" w:after="120" w:line="240" w:lineRule="auto"/>
        <w:rPr>
          <w:rFonts w:cs="DaxOT-Light"/>
        </w:rPr>
      </w:pPr>
      <w:r w:rsidRPr="00471BCD">
        <w:rPr>
          <w:rStyle w:val="A12"/>
          <w:rFonts w:cstheme="minorBidi"/>
          <w:color w:val="auto"/>
          <w:sz w:val="22"/>
          <w:szCs w:val="22"/>
        </w:rPr>
        <w:t>Australian Institute of Health and Welfare</w:t>
      </w:r>
      <w:r w:rsidRPr="00471BCD">
        <w:rPr>
          <w:rStyle w:val="A12"/>
          <w:rFonts w:cs="DaxOT-Light"/>
          <w:color w:val="auto"/>
          <w:sz w:val="22"/>
          <w:szCs w:val="22"/>
        </w:rPr>
        <w:t xml:space="preserve">. (2011). </w:t>
      </w:r>
      <w:r w:rsidRPr="00471BCD">
        <w:rPr>
          <w:rStyle w:val="A12"/>
          <w:rFonts w:cs="DaxOT-Light"/>
          <w:i/>
          <w:color w:val="auto"/>
          <w:sz w:val="22"/>
          <w:szCs w:val="22"/>
        </w:rPr>
        <w:t>Young Australians: Their Health and Wellbeing</w:t>
      </w:r>
      <w:r w:rsidRPr="00471BCD">
        <w:rPr>
          <w:rStyle w:val="A12"/>
          <w:rFonts w:cs="DaxOT-Light"/>
          <w:color w:val="auto"/>
          <w:sz w:val="22"/>
          <w:szCs w:val="22"/>
        </w:rPr>
        <w:t xml:space="preserve">. Retrieved from </w:t>
      </w:r>
      <w:hyperlink r:id="rId20" w:history="1">
        <w:r w:rsidRPr="00471BCD">
          <w:rPr>
            <w:rStyle w:val="Hyperlink"/>
            <w:rFonts w:cs="DaxOT"/>
          </w:rPr>
          <w:t>http://www.aihw.gov.au/youth-health-and-wellbeing/</w:t>
        </w:r>
      </w:hyperlink>
      <w:r w:rsidRPr="00471BCD">
        <w:rPr>
          <w:rStyle w:val="A12"/>
          <w:color w:val="auto"/>
          <w:sz w:val="22"/>
          <w:szCs w:val="22"/>
        </w:rPr>
        <w:t xml:space="preserve"> </w:t>
      </w:r>
    </w:p>
    <w:p w:rsidR="008D01EE" w:rsidRPr="000F4E28" w:rsidRDefault="008D01EE" w:rsidP="008D01EE">
      <w:pPr>
        <w:pStyle w:val="ListParagraph"/>
        <w:numPr>
          <w:ilvl w:val="0"/>
          <w:numId w:val="20"/>
        </w:numPr>
        <w:autoSpaceDE w:val="0"/>
        <w:autoSpaceDN w:val="0"/>
        <w:adjustRightInd w:val="0"/>
        <w:spacing w:before="120" w:after="120" w:line="240" w:lineRule="auto"/>
        <w:rPr>
          <w:rStyle w:val="A17"/>
          <w:rFonts w:cs="DaxOT-Light"/>
          <w:color w:val="auto"/>
          <w:sz w:val="22"/>
          <w:szCs w:val="22"/>
        </w:rPr>
      </w:pPr>
      <w:r w:rsidRPr="000F4E28">
        <w:rPr>
          <w:rFonts w:cs="DaxOT-Light"/>
        </w:rPr>
        <w:t xml:space="preserve">Australian Taxation Office. (2016). </w:t>
      </w:r>
      <w:r w:rsidRPr="000F4E28">
        <w:rPr>
          <w:rFonts w:cs="DaxOT-Light"/>
          <w:i/>
        </w:rPr>
        <w:t>Personal Services Income</w:t>
      </w:r>
      <w:r w:rsidRPr="000F4E28">
        <w:rPr>
          <w:rFonts w:cs="DaxOT-Light"/>
        </w:rPr>
        <w:t xml:space="preserve">. Retrieved from </w:t>
      </w:r>
      <w:hyperlink r:id="rId21" w:history="1">
        <w:r w:rsidRPr="000F4E28">
          <w:rPr>
            <w:rStyle w:val="Hyperlink"/>
            <w:rFonts w:cs="DaxOT-Light"/>
          </w:rPr>
          <w:t>https://www.ato.gov.au/Business/Personal-services-income/</w:t>
        </w:r>
      </w:hyperlink>
      <w:r w:rsidRPr="000F4E28">
        <w:rPr>
          <w:rFonts w:cs="DaxOT-Light"/>
        </w:rPr>
        <w:t xml:space="preserve"> </w:t>
      </w:r>
    </w:p>
    <w:p w:rsidR="008D01EE" w:rsidRPr="00E51916"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0F4E28">
        <w:rPr>
          <w:rStyle w:val="A17"/>
          <w:rFonts w:cs="DaxOT-Light"/>
          <w:sz w:val="22"/>
          <w:szCs w:val="22"/>
        </w:rPr>
        <w:t xml:space="preserve">Benevolent Society. (2011). </w:t>
      </w:r>
      <w:r w:rsidRPr="000F4E28">
        <w:rPr>
          <w:rStyle w:val="A17"/>
          <w:i/>
          <w:sz w:val="22"/>
          <w:szCs w:val="22"/>
        </w:rPr>
        <w:t>I</w:t>
      </w:r>
      <w:r w:rsidRPr="000F4E28">
        <w:rPr>
          <w:rStyle w:val="A17"/>
          <w:rFonts w:cs="DaxOT-Light"/>
          <w:i/>
          <w:sz w:val="22"/>
          <w:szCs w:val="22"/>
        </w:rPr>
        <w:t xml:space="preserve">ndex </w:t>
      </w:r>
      <w:r w:rsidRPr="000F4E28">
        <w:rPr>
          <w:rStyle w:val="A17"/>
          <w:i/>
          <w:sz w:val="22"/>
          <w:szCs w:val="22"/>
        </w:rPr>
        <w:t xml:space="preserve">of Wellbeing for Older Australians. </w:t>
      </w:r>
      <w:r w:rsidRPr="000F4E28">
        <w:rPr>
          <w:rStyle w:val="A17"/>
          <w:rFonts w:cs="DaxOT-Light"/>
          <w:sz w:val="22"/>
          <w:szCs w:val="22"/>
        </w:rPr>
        <w:t xml:space="preserve">Retrieved from https:// </w:t>
      </w:r>
      <w:hyperlink r:id="rId22" w:history="1">
        <w:r w:rsidRPr="000F4E28">
          <w:rPr>
            <w:rStyle w:val="Hyperlink"/>
            <w:rFonts w:cs="DaxOT-Light"/>
          </w:rPr>
          <w:t>www.benevolent.org.au/think/index--of--wellbeing--for--older--</w:t>
        </w:r>
        <w:proofErr w:type="spellStart"/>
        <w:r w:rsidRPr="000F4E28">
          <w:rPr>
            <w:rStyle w:val="Hyperlink"/>
            <w:rFonts w:cs="DaxOT-Light"/>
          </w:rPr>
          <w:t>australians</w:t>
        </w:r>
        <w:proofErr w:type="spellEnd"/>
      </w:hyperlink>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E51916">
        <w:rPr>
          <w:rFonts w:cs="DaxOT-Light"/>
          <w:color w:val="000000"/>
        </w:rPr>
        <w:t xml:space="preserve">Crime Statistics Agency. (2016). </w:t>
      </w:r>
      <w:r w:rsidRPr="00E51916">
        <w:rPr>
          <w:rFonts w:cs="DaxOT-Light"/>
          <w:i/>
          <w:color w:val="000000"/>
        </w:rPr>
        <w:t>Crime by location</w:t>
      </w:r>
      <w:r w:rsidRPr="00E51916">
        <w:rPr>
          <w:rFonts w:cs="DaxOT-Light"/>
          <w:color w:val="000000"/>
        </w:rPr>
        <w:t xml:space="preserve">. Retrieved from  </w:t>
      </w:r>
      <w:hyperlink r:id="rId23" w:history="1">
        <w:r w:rsidRPr="00E51916">
          <w:rPr>
            <w:rStyle w:val="Hyperlink"/>
            <w:rFonts w:cs="DaxOT-Light"/>
          </w:rPr>
          <w:t>https://www.crimestatistics.vic.gov.au/explore-crime-by-location</w:t>
        </w:r>
      </w:hyperlink>
    </w:p>
    <w:p w:rsidR="008D01EE" w:rsidRPr="000F4E28" w:rsidRDefault="008D01EE" w:rsidP="008D01EE">
      <w:pPr>
        <w:pStyle w:val="ListParagraph"/>
        <w:numPr>
          <w:ilvl w:val="0"/>
          <w:numId w:val="20"/>
        </w:numPr>
        <w:autoSpaceDE w:val="0"/>
        <w:autoSpaceDN w:val="0"/>
        <w:adjustRightInd w:val="0"/>
        <w:spacing w:before="120" w:after="120" w:line="240" w:lineRule="auto"/>
        <w:rPr>
          <w:rStyle w:val="A15"/>
          <w:rFonts w:cs="DaxOT-Light"/>
          <w:color w:val="auto"/>
          <w:sz w:val="22"/>
          <w:szCs w:val="22"/>
        </w:rPr>
      </w:pPr>
      <w:r w:rsidRPr="000F4E28">
        <w:t>Crime Statistics Agency</w:t>
      </w:r>
      <w:r w:rsidRPr="000F4E28">
        <w:rPr>
          <w:rFonts w:cs="DaxOT-Light"/>
        </w:rPr>
        <w:t xml:space="preserve">. (2016). </w:t>
      </w:r>
      <w:r w:rsidRPr="000F4E28">
        <w:rPr>
          <w:rFonts w:cs="DaxOT-Light"/>
          <w:i/>
        </w:rPr>
        <w:t>Recorded offences</w:t>
      </w:r>
      <w:r w:rsidRPr="000F4E28">
        <w:rPr>
          <w:rFonts w:cs="DaxOT-Light"/>
        </w:rPr>
        <w:t xml:space="preserve">. Retrieved from </w:t>
      </w:r>
      <w:hyperlink r:id="rId24" w:history="1">
        <w:r w:rsidRPr="000F4E28">
          <w:rPr>
            <w:rStyle w:val="Hyperlink"/>
            <w:rFonts w:cs="DaxOT-Light"/>
          </w:rPr>
          <w:t>https://www.crimestatistics.vic.gov.au/crime-statistics/latest-crime-data/recorded-offences-2</w:t>
        </w:r>
      </w:hyperlink>
      <w:r w:rsidRPr="000F4E28">
        <w:rPr>
          <w:rFonts w:cs="DaxOT-Light"/>
        </w:rPr>
        <w:t xml:space="preserve"> </w:t>
      </w:r>
    </w:p>
    <w:p w:rsidR="008D01EE" w:rsidRDefault="008D01EE" w:rsidP="008D01EE">
      <w:pPr>
        <w:pStyle w:val="ListParagraph"/>
        <w:numPr>
          <w:ilvl w:val="0"/>
          <w:numId w:val="20"/>
        </w:numPr>
        <w:autoSpaceDE w:val="0"/>
        <w:autoSpaceDN w:val="0"/>
        <w:adjustRightInd w:val="0"/>
        <w:spacing w:before="120" w:after="120" w:line="240" w:lineRule="auto"/>
        <w:rPr>
          <w:rStyle w:val="A15"/>
          <w:rFonts w:cs="DaxOT-Light"/>
          <w:sz w:val="22"/>
          <w:szCs w:val="22"/>
        </w:rPr>
      </w:pPr>
      <w:r w:rsidRPr="000F4E28">
        <w:rPr>
          <w:rStyle w:val="A15"/>
          <w:rFonts w:cs="DaxOT-Light"/>
          <w:sz w:val="22"/>
          <w:szCs w:val="22"/>
        </w:rPr>
        <w:t xml:space="preserve">Crime Statistics Agency. (2015 and 2016). </w:t>
      </w:r>
      <w:r w:rsidRPr="000F4E28">
        <w:rPr>
          <w:rStyle w:val="A15"/>
          <w:rFonts w:cs="DaxOT-Light"/>
          <w:i/>
          <w:sz w:val="22"/>
          <w:szCs w:val="22"/>
        </w:rPr>
        <w:t>Family incidents</w:t>
      </w:r>
      <w:r w:rsidRPr="000F4E28">
        <w:rPr>
          <w:rStyle w:val="A15"/>
          <w:rFonts w:cs="DaxOT-Light"/>
          <w:sz w:val="22"/>
          <w:szCs w:val="22"/>
        </w:rPr>
        <w:t xml:space="preserve">. Retrieved from </w:t>
      </w:r>
      <w:hyperlink r:id="rId25" w:history="1">
        <w:r w:rsidRPr="000F4E28">
          <w:rPr>
            <w:rStyle w:val="Hyperlink"/>
            <w:rFonts w:cs="DaxOT-Light"/>
          </w:rPr>
          <w:t>https://www.crimestatistics.vic.gov.au/crime-statistics/latest-crime-data/family-incidents-2</w:t>
        </w:r>
      </w:hyperlink>
      <w:r w:rsidRPr="000F4E28">
        <w:rPr>
          <w:rStyle w:val="A15"/>
          <w:rFonts w:cs="DaxOT-Light"/>
          <w:sz w:val="22"/>
          <w:szCs w:val="22"/>
        </w:rPr>
        <w:t xml:space="preserve"> </w:t>
      </w:r>
    </w:p>
    <w:p w:rsidR="008D01EE" w:rsidRPr="00471BCD"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471BCD">
        <w:lastRenderedPageBreak/>
        <w:t xml:space="preserve">Crime Statistics Agency. (2012 to 2015). </w:t>
      </w:r>
      <w:r w:rsidRPr="00471BCD">
        <w:rPr>
          <w:i/>
        </w:rPr>
        <w:t>Recorded Offences</w:t>
      </w:r>
      <w:r w:rsidR="0016325F">
        <w:rPr>
          <w:i/>
        </w:rPr>
        <w:t xml:space="preserve"> - Age</w:t>
      </w:r>
      <w:r w:rsidRPr="00471BCD">
        <w:t xml:space="preserve">. Retrieved directly from Crime Statistics Agency </w:t>
      </w:r>
    </w:p>
    <w:p w:rsidR="008D01EE" w:rsidRPr="00471BCD"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471BCD">
        <w:t xml:space="preserve">Crime Statistics Agency. (2012 to 2015). </w:t>
      </w:r>
      <w:r w:rsidRPr="00471BCD">
        <w:rPr>
          <w:i/>
        </w:rPr>
        <w:t>Victim Reports</w:t>
      </w:r>
      <w:r w:rsidR="0016325F">
        <w:rPr>
          <w:i/>
        </w:rPr>
        <w:t xml:space="preserve"> - Age</w:t>
      </w:r>
      <w:r w:rsidRPr="00471BCD">
        <w:t xml:space="preserve">. Retrieved directly from Crime Statistics Agency </w:t>
      </w:r>
    </w:p>
    <w:p w:rsidR="008D01EE" w:rsidRPr="000F4E28"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0F4E28">
        <w:rPr>
          <w:rFonts w:cs="DaxOT-Light"/>
        </w:rPr>
        <w:t>Dep</w:t>
      </w:r>
      <w:r w:rsidRPr="000F4E28">
        <w:rPr>
          <w:rFonts w:cs="DaxOT"/>
        </w:rPr>
        <w:t>a</w:t>
      </w:r>
      <w:r w:rsidRPr="000F4E28">
        <w:rPr>
          <w:rFonts w:cs="DaxOT-Light"/>
        </w:rPr>
        <w:t xml:space="preserve">rtment of Education and Early Childhood Development. (2010). </w:t>
      </w:r>
      <w:proofErr w:type="gramStart"/>
      <w:r w:rsidRPr="000F4E28">
        <w:rPr>
          <w:rFonts w:cs="DaxOT-Light"/>
          <w:i/>
        </w:rPr>
        <w:t>Making</w:t>
      </w:r>
      <w:proofErr w:type="gramEnd"/>
      <w:r w:rsidRPr="000F4E28">
        <w:rPr>
          <w:rFonts w:cs="DaxOT-Light"/>
          <w:i/>
        </w:rPr>
        <w:t xml:space="preserve"> the most of childhood: The importance of early years</w:t>
      </w:r>
      <w:r w:rsidRPr="000F4E28">
        <w:rPr>
          <w:rFonts w:cs="DaxOT-Light"/>
        </w:rPr>
        <w:t xml:space="preserve">. Retrieved from </w:t>
      </w:r>
      <w:hyperlink r:id="rId26" w:history="1">
        <w:r w:rsidRPr="000F4E28">
          <w:rPr>
            <w:rStyle w:val="Hyperlink"/>
            <w:rFonts w:cs="DaxOT-Light"/>
          </w:rPr>
          <w:t>http://www.education.vic.gov.au/ childhood/parents/</w:t>
        </w:r>
        <w:proofErr w:type="spellStart"/>
        <w:r w:rsidRPr="000F4E28">
          <w:rPr>
            <w:rStyle w:val="Hyperlink"/>
            <w:rFonts w:cs="DaxOT-Light"/>
          </w:rPr>
          <w:t>mch</w:t>
        </w:r>
        <w:proofErr w:type="spellEnd"/>
        <w:r w:rsidRPr="000F4E28">
          <w:rPr>
            <w:rStyle w:val="Hyperlink"/>
            <w:rFonts w:cs="DaxOT-Light"/>
          </w:rPr>
          <w:t>/Pages/families.aspx</w:t>
        </w:r>
      </w:hyperlink>
      <w:r w:rsidRPr="000F4E28">
        <w:rPr>
          <w:rFonts w:cs="DaxOT-Light"/>
        </w:rPr>
        <w:t xml:space="preserve"> </w:t>
      </w:r>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0F4E28">
        <w:rPr>
          <w:rStyle w:val="A12"/>
          <w:rFonts w:cs="DaxOT-Light"/>
          <w:sz w:val="22"/>
          <w:szCs w:val="22"/>
        </w:rPr>
        <w:t xml:space="preserve">Department of Education and Early Childhood Development. (2011 to 2015). </w:t>
      </w:r>
      <w:r w:rsidRPr="000F4E28">
        <w:rPr>
          <w:rStyle w:val="A12"/>
          <w:rFonts w:cs="DaxOT-Light"/>
          <w:i/>
          <w:sz w:val="22"/>
          <w:szCs w:val="22"/>
        </w:rPr>
        <w:t>Student Attitudes to School Survey</w:t>
      </w:r>
      <w:r w:rsidRPr="000F4E28">
        <w:rPr>
          <w:rStyle w:val="A12"/>
          <w:rFonts w:cs="DaxOT-Light"/>
          <w:sz w:val="22"/>
          <w:szCs w:val="22"/>
        </w:rPr>
        <w:t xml:space="preserve">. Retrieved from the Victorian Child Monitoring System (VCAMS) </w:t>
      </w:r>
      <w:hyperlink r:id="rId27" w:history="1">
        <w:r w:rsidRPr="000F4E28">
          <w:rPr>
            <w:rStyle w:val="Hyperlink"/>
            <w:rFonts w:cs="DaxOT-Light"/>
          </w:rPr>
          <w:t>http://www.education.vic.gov.au/about/research/Pages/vcamstableau.aspx</w:t>
        </w:r>
      </w:hyperlink>
      <w:r w:rsidRPr="000F4E28">
        <w:rPr>
          <w:rStyle w:val="A12"/>
          <w:rFonts w:cs="DaxOT-Light"/>
          <w:sz w:val="22"/>
          <w:szCs w:val="22"/>
        </w:rPr>
        <w:t xml:space="preserve"> </w:t>
      </w:r>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rPr>
      </w:pPr>
      <w:r w:rsidRPr="000F4E28">
        <w:rPr>
          <w:rFonts w:cs="DaxOT-Light"/>
        </w:rPr>
        <w:t xml:space="preserve">Department of Education and Training - Maternal and Child Health. (2010 to 2015). </w:t>
      </w:r>
      <w:r w:rsidRPr="000F4E28">
        <w:rPr>
          <w:rFonts w:cs="DaxOT-Light"/>
          <w:i/>
        </w:rPr>
        <w:t>Breastfeeding</w:t>
      </w:r>
      <w:r w:rsidRPr="000F4E28">
        <w:rPr>
          <w:rFonts w:cs="DaxOT-Light"/>
        </w:rPr>
        <w:t xml:space="preserve">. </w:t>
      </w:r>
      <w:r w:rsidRPr="000F4E28">
        <w:rPr>
          <w:rStyle w:val="A12"/>
          <w:rFonts w:cs="DaxOT-Light"/>
          <w:sz w:val="22"/>
          <w:szCs w:val="22"/>
        </w:rPr>
        <w:t xml:space="preserve">Retrieved from the Victorian Child Monitoring System (VCAMS) </w:t>
      </w:r>
      <w:hyperlink r:id="rId28" w:history="1">
        <w:r w:rsidRPr="000F4E28">
          <w:rPr>
            <w:rStyle w:val="Hyperlink"/>
            <w:rFonts w:cs="DaxOT-Light"/>
          </w:rPr>
          <w:t>http://www.education.vic.gov.au/about/research/Pages/vcamstableau.aspx</w:t>
        </w:r>
      </w:hyperlink>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rPr>
      </w:pPr>
      <w:r w:rsidRPr="000F4E28">
        <w:t xml:space="preserve">Department of Education and Training - Maternal and Child Health. (2011 to 2015). </w:t>
      </w:r>
      <w:r w:rsidRPr="000F4E28">
        <w:rPr>
          <w:i/>
        </w:rPr>
        <w:t>MCH checks</w:t>
      </w:r>
      <w:r w:rsidRPr="000F4E28">
        <w:t xml:space="preserve">. </w:t>
      </w:r>
      <w:r w:rsidRPr="000F4E28">
        <w:rPr>
          <w:rStyle w:val="A12"/>
          <w:rFonts w:cs="DaxOT-Light"/>
          <w:sz w:val="22"/>
          <w:szCs w:val="22"/>
        </w:rPr>
        <w:t xml:space="preserve">Retrieved from the Victorian Child Monitoring System (VCAMS) </w:t>
      </w:r>
      <w:hyperlink r:id="rId29" w:history="1">
        <w:r w:rsidRPr="000F4E28">
          <w:rPr>
            <w:rStyle w:val="Hyperlink"/>
            <w:rFonts w:cs="DaxOT-Light"/>
          </w:rPr>
          <w:t>http://www.education.vic.gov.au/about/research/Pages/vcamstableau.aspx</w:t>
        </w:r>
      </w:hyperlink>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
        </w:rPr>
      </w:pPr>
      <w:r w:rsidRPr="000F4E28">
        <w:rPr>
          <w:rFonts w:cs="DaxOT-Light"/>
        </w:rPr>
        <w:t xml:space="preserve">Department of Education and Training - School Entrant Health Questionnaire (SEQH). (2011 to 2015). </w:t>
      </w:r>
      <w:r w:rsidRPr="000F4E28">
        <w:rPr>
          <w:rFonts w:cs="DaxOT-Light"/>
          <w:i/>
        </w:rPr>
        <w:t>Behavioural difficulties</w:t>
      </w:r>
      <w:r w:rsidRPr="000F4E28">
        <w:rPr>
          <w:rFonts w:cs="DaxOT-Light"/>
        </w:rPr>
        <w:t xml:space="preserve">. </w:t>
      </w:r>
      <w:r w:rsidRPr="000F4E28">
        <w:rPr>
          <w:rStyle w:val="A12"/>
          <w:rFonts w:cs="DaxOT-Light"/>
          <w:sz w:val="22"/>
          <w:szCs w:val="22"/>
        </w:rPr>
        <w:t xml:space="preserve">Retrieved from the Victorian Child Monitoring System (VCAMS) </w:t>
      </w:r>
      <w:hyperlink r:id="rId30" w:history="1">
        <w:r w:rsidRPr="000F4E28">
          <w:rPr>
            <w:rStyle w:val="Hyperlink"/>
            <w:rFonts w:cs="DaxOT-Light"/>
          </w:rPr>
          <w:t>http://www.education.vic.gov.au/about/research/Pages/vcamstableau.aspx</w:t>
        </w:r>
      </w:hyperlink>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rPr>
      </w:pPr>
      <w:r w:rsidRPr="000F4E28">
        <w:rPr>
          <w:rFonts w:cs="DaxOT-Light"/>
        </w:rPr>
        <w:t xml:space="preserve">Department of Employment. (Dec 2016). </w:t>
      </w:r>
      <w:r w:rsidRPr="000F4E28">
        <w:rPr>
          <w:rFonts w:cs="DaxOT-Light"/>
          <w:i/>
        </w:rPr>
        <w:t>Small Area Labour Markets publication – December quarter 2016.</w:t>
      </w:r>
      <w:r w:rsidRPr="000F4E28">
        <w:rPr>
          <w:rFonts w:cs="DaxOT-Light"/>
        </w:rPr>
        <w:t xml:space="preserve"> Retrieved from </w:t>
      </w:r>
      <w:hyperlink r:id="rId31" w:history="1">
        <w:r w:rsidRPr="000F4E28">
          <w:rPr>
            <w:rStyle w:val="Hyperlink"/>
            <w:rFonts w:cs="DaxOT-Light"/>
          </w:rPr>
          <w:t>https://www.employment.gov.au/small-area-labour-markets-publication</w:t>
        </w:r>
      </w:hyperlink>
    </w:p>
    <w:p w:rsidR="0016325F" w:rsidRDefault="0016325F" w:rsidP="0016325F">
      <w:pPr>
        <w:pStyle w:val="ListParagraph"/>
        <w:numPr>
          <w:ilvl w:val="0"/>
          <w:numId w:val="20"/>
        </w:numPr>
        <w:autoSpaceDE w:val="0"/>
        <w:autoSpaceDN w:val="0"/>
        <w:adjustRightInd w:val="0"/>
        <w:spacing w:before="120" w:after="120" w:line="240" w:lineRule="auto"/>
        <w:rPr>
          <w:rFonts w:cs="DaxOT-Light"/>
        </w:rPr>
      </w:pPr>
      <w:r w:rsidRPr="00471BCD">
        <w:rPr>
          <w:rFonts w:cs="DaxOT-Light"/>
        </w:rPr>
        <w:t>Department of Health. (2015).</w:t>
      </w:r>
      <w:r w:rsidRPr="00471BCD">
        <w:rPr>
          <w:rFonts w:cs="DaxOT-Light"/>
          <w:i/>
        </w:rPr>
        <w:t>The Victorian Happiness Report: The Subjective Wellbeing of Victorians.</w:t>
      </w:r>
      <w:r w:rsidRPr="00471BCD">
        <w:rPr>
          <w:rFonts w:cs="DaxOT-Light"/>
        </w:rPr>
        <w:t xml:space="preserve"> Retrieved from </w:t>
      </w:r>
      <w:hyperlink r:id="rId32" w:history="1">
        <w:r w:rsidRPr="00471BCD">
          <w:rPr>
            <w:rStyle w:val="Hyperlink"/>
            <w:rFonts w:cs="DaxOT-Light"/>
          </w:rPr>
          <w:t>https://www2.health.vic.gov.au/public-health/ population-health-systems/health-status-of-victorians/survey-data-and-reports/victorian-happiness-report</w:t>
        </w:r>
      </w:hyperlink>
    </w:p>
    <w:p w:rsidR="0016325F" w:rsidRDefault="0016325F" w:rsidP="0016325F">
      <w:pPr>
        <w:pStyle w:val="ListParagraph"/>
        <w:numPr>
          <w:ilvl w:val="0"/>
          <w:numId w:val="20"/>
        </w:numPr>
        <w:autoSpaceDE w:val="0"/>
        <w:autoSpaceDN w:val="0"/>
        <w:adjustRightInd w:val="0"/>
        <w:spacing w:before="120" w:after="120" w:line="240" w:lineRule="auto"/>
        <w:rPr>
          <w:rFonts w:cs="DaxOT-Light"/>
        </w:rPr>
      </w:pPr>
      <w:r w:rsidRPr="00471BCD">
        <w:rPr>
          <w:rFonts w:cs="DaxOT-Light"/>
        </w:rPr>
        <w:t xml:space="preserve">Department of Health. (2008). </w:t>
      </w:r>
      <w:r w:rsidRPr="0032037A">
        <w:rPr>
          <w:rFonts w:cs="DaxOT-Light"/>
          <w:i/>
        </w:rPr>
        <w:t>Victorian Population Health Survey 2008</w:t>
      </w:r>
      <w:r w:rsidRPr="00471BCD">
        <w:rPr>
          <w:rFonts w:cs="DaxOT-Light"/>
        </w:rPr>
        <w:t xml:space="preserve">. Retrieved from </w:t>
      </w:r>
      <w:hyperlink r:id="rId33" w:history="1">
        <w:r w:rsidRPr="00471BCD">
          <w:rPr>
            <w:rStyle w:val="Hyperlink"/>
            <w:rFonts w:cs="DaxOT-Light"/>
          </w:rPr>
          <w:t>https://www2.health.vic.gov.au/public-health/population-health-systems/health-status-of-victorians/survey-data-and-reports/victorian-population-health-survey</w:t>
        </w:r>
      </w:hyperlink>
    </w:p>
    <w:p w:rsidR="0016325F" w:rsidRPr="00C35B0D" w:rsidRDefault="0016325F" w:rsidP="0016325F">
      <w:pPr>
        <w:pStyle w:val="ListParagraph"/>
        <w:numPr>
          <w:ilvl w:val="0"/>
          <w:numId w:val="20"/>
        </w:numPr>
        <w:autoSpaceDE w:val="0"/>
        <w:autoSpaceDN w:val="0"/>
        <w:adjustRightInd w:val="0"/>
        <w:spacing w:before="120" w:after="120" w:line="240" w:lineRule="auto"/>
        <w:rPr>
          <w:rFonts w:cs="DaxOT-Light"/>
        </w:rPr>
      </w:pPr>
      <w:r w:rsidRPr="00471BCD">
        <w:t>Department of Health</w:t>
      </w:r>
      <w:r w:rsidRPr="00471BCD">
        <w:rPr>
          <w:rFonts w:cs="DaxOT-Light"/>
        </w:rPr>
        <w:t xml:space="preserve">. (2011-12). </w:t>
      </w:r>
      <w:r w:rsidRPr="0032037A">
        <w:rPr>
          <w:rFonts w:cs="DaxOT-Light"/>
          <w:i/>
        </w:rPr>
        <w:t>Victorian Population Health Survey 2011-12: Survey Findings</w:t>
      </w:r>
      <w:r w:rsidRPr="00471BCD">
        <w:rPr>
          <w:rFonts w:cs="DaxOT-Light"/>
        </w:rPr>
        <w:t xml:space="preserve">. Retrieved from </w:t>
      </w:r>
      <w:hyperlink r:id="rId34" w:history="1">
        <w:r w:rsidRPr="00471BCD">
          <w:rPr>
            <w:rStyle w:val="Hyperlink"/>
            <w:rFonts w:cs="DaxOT-Light"/>
          </w:rPr>
          <w:t>https://www2.health.vic.gov.au/public-health/population-health-systems/health-status-of-victorians/survey-data-and-reports/victorian-population-health-survey</w:t>
        </w:r>
      </w:hyperlink>
    </w:p>
    <w:p w:rsidR="0016325F" w:rsidRDefault="0016325F" w:rsidP="0016325F">
      <w:pPr>
        <w:pStyle w:val="ListParagraph"/>
        <w:numPr>
          <w:ilvl w:val="0"/>
          <w:numId w:val="20"/>
        </w:numPr>
        <w:autoSpaceDE w:val="0"/>
        <w:autoSpaceDN w:val="0"/>
        <w:adjustRightInd w:val="0"/>
        <w:spacing w:before="120" w:after="120" w:line="240" w:lineRule="auto"/>
        <w:rPr>
          <w:rFonts w:cs="DaxOT-Light"/>
        </w:rPr>
      </w:pPr>
      <w:r w:rsidRPr="00471BCD">
        <w:rPr>
          <w:rFonts w:cs="DaxOT-Light"/>
        </w:rPr>
        <w:t xml:space="preserve">Department of Health. (2011-12). </w:t>
      </w:r>
      <w:r w:rsidRPr="00471BCD">
        <w:rPr>
          <w:rFonts w:cs="DaxOT-Light"/>
          <w:i/>
        </w:rPr>
        <w:t>Victorian Population Health Survey 2011-12 – Social Capital Report</w:t>
      </w:r>
      <w:r w:rsidRPr="00471BCD">
        <w:rPr>
          <w:rFonts w:cs="DaxOT-Light"/>
        </w:rPr>
        <w:t xml:space="preserve">. Retrieved from </w:t>
      </w:r>
      <w:hyperlink r:id="rId35" w:history="1">
        <w:r w:rsidRPr="00471BCD">
          <w:rPr>
            <w:rStyle w:val="Hyperlink"/>
            <w:rFonts w:cs="DaxOT-Light"/>
          </w:rPr>
          <w:t>https://www2.health.vic.gov.au/public-health/population-health-systems/health-status-of-victorians/survey-data-and-reports/victorian-population-health-survey</w:t>
        </w:r>
      </w:hyperlink>
      <w:r w:rsidRPr="00471BCD">
        <w:rPr>
          <w:rFonts w:cs="DaxOT-Light"/>
        </w:rPr>
        <w:t xml:space="preserve"> </w:t>
      </w:r>
    </w:p>
    <w:p w:rsidR="0016325F" w:rsidRDefault="0016325F" w:rsidP="0016325F">
      <w:pPr>
        <w:pStyle w:val="ListParagraph"/>
        <w:numPr>
          <w:ilvl w:val="0"/>
          <w:numId w:val="20"/>
        </w:numPr>
        <w:autoSpaceDE w:val="0"/>
        <w:autoSpaceDN w:val="0"/>
        <w:adjustRightInd w:val="0"/>
        <w:spacing w:before="120" w:after="120" w:line="240" w:lineRule="auto"/>
        <w:rPr>
          <w:rFonts w:cs="DaxOT-Light"/>
        </w:rPr>
      </w:pPr>
      <w:r w:rsidRPr="00471BCD">
        <w:rPr>
          <w:rFonts w:cs="DaxOT-Light"/>
        </w:rPr>
        <w:t xml:space="preserve">Department of Health. (2014). </w:t>
      </w:r>
      <w:r w:rsidRPr="00C35B0D">
        <w:rPr>
          <w:rFonts w:cs="DaxOT-Light"/>
          <w:i/>
        </w:rPr>
        <w:t>Victorian Population Health Survey 2014 – Modifiable risk factors contributing to chronic disease in Victoria</w:t>
      </w:r>
      <w:r w:rsidRPr="00471BCD">
        <w:rPr>
          <w:rFonts w:cs="DaxOT-Light"/>
        </w:rPr>
        <w:t xml:space="preserve">. Retrieved from </w:t>
      </w:r>
      <w:hyperlink r:id="rId36" w:history="1">
        <w:r w:rsidRPr="00471BCD">
          <w:rPr>
            <w:rStyle w:val="Hyperlink"/>
            <w:rFonts w:cs="DaxOT-Light"/>
          </w:rPr>
          <w:t>https://www2.health.vic.gov.au/public-health/population-health-systems/health-status-of-victorians/survey-data-and-reports/victorian-population-health-survey</w:t>
        </w:r>
      </w:hyperlink>
    </w:p>
    <w:p w:rsidR="0032037A" w:rsidRPr="00265140" w:rsidRDefault="0032037A" w:rsidP="0032037A">
      <w:pPr>
        <w:pStyle w:val="ListParagraph"/>
        <w:numPr>
          <w:ilvl w:val="0"/>
          <w:numId w:val="20"/>
        </w:numPr>
        <w:autoSpaceDE w:val="0"/>
        <w:autoSpaceDN w:val="0"/>
        <w:adjustRightInd w:val="0"/>
        <w:spacing w:before="120" w:after="120" w:line="240" w:lineRule="auto"/>
        <w:rPr>
          <w:rFonts w:cs="DaxOT-Light"/>
        </w:rPr>
      </w:pPr>
      <w:r w:rsidRPr="00471BCD">
        <w:rPr>
          <w:rFonts w:cs="DaxOT-Light"/>
        </w:rPr>
        <w:t xml:space="preserve">Department of Health. (2014). </w:t>
      </w:r>
      <w:r w:rsidRPr="00265140">
        <w:rPr>
          <w:rFonts w:cs="DaxOT-Light"/>
          <w:i/>
        </w:rPr>
        <w:t>Victorian Population Health Survey 2014 – Health and wellbeing, chronic conditions, screening and eye health</w:t>
      </w:r>
      <w:r w:rsidRPr="00471BCD">
        <w:rPr>
          <w:rFonts w:cs="DaxOT-Light"/>
        </w:rPr>
        <w:t xml:space="preserve">. Retrieved from </w:t>
      </w:r>
      <w:hyperlink r:id="rId37" w:history="1">
        <w:r w:rsidRPr="00471BCD">
          <w:rPr>
            <w:rStyle w:val="Hyperlink"/>
            <w:rFonts w:cs="DaxOT-Light"/>
          </w:rPr>
          <w:t>https://www2.health.vic.gov.au/public-health/population-health-systems/health-status-of-victorians/survey-data-and-reports/victorian-population-health-survey</w:t>
        </w:r>
      </w:hyperlink>
    </w:p>
    <w:p w:rsidR="008D01EE" w:rsidRDefault="008D01EE" w:rsidP="008D01EE">
      <w:pPr>
        <w:pStyle w:val="ListParagraph"/>
        <w:numPr>
          <w:ilvl w:val="0"/>
          <w:numId w:val="20"/>
        </w:numPr>
        <w:autoSpaceDE w:val="0"/>
        <w:autoSpaceDN w:val="0"/>
        <w:adjustRightInd w:val="0"/>
        <w:spacing w:before="120" w:after="120" w:line="240" w:lineRule="auto"/>
        <w:rPr>
          <w:rFonts w:cs="DaxOT-Light"/>
        </w:rPr>
      </w:pPr>
      <w:r w:rsidRPr="000F4E28">
        <w:rPr>
          <w:rFonts w:cs="DaxOT-Light"/>
        </w:rPr>
        <w:t xml:space="preserve">Department of Health - Australian Childhood Immunisation Registry (ACIR). (2010 to 2015). </w:t>
      </w:r>
      <w:r>
        <w:rPr>
          <w:rFonts w:cs="DaxOT-Light"/>
          <w:i/>
        </w:rPr>
        <w:t>Immunisations</w:t>
      </w:r>
      <w:r w:rsidRPr="000F4E28">
        <w:rPr>
          <w:rFonts w:cs="DaxOT-Light"/>
        </w:rPr>
        <w:t xml:space="preserve">. Retrieved from the Victorian Child and Adolescent Monitoring System, </w:t>
      </w:r>
      <w:hyperlink r:id="rId38" w:history="1">
        <w:r w:rsidRPr="000F4E28">
          <w:rPr>
            <w:rStyle w:val="Hyperlink"/>
            <w:rFonts w:cs="DaxOT-Light"/>
          </w:rPr>
          <w:t>http://www.education.vic.gov.au/about/research/Pages/vcamstableau.aspx</w:t>
        </w:r>
      </w:hyperlink>
    </w:p>
    <w:p w:rsidR="008D01EE"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471BCD">
        <w:rPr>
          <w:rStyle w:val="A12"/>
          <w:rFonts w:cs="DaxOT-Light"/>
          <w:color w:val="auto"/>
          <w:sz w:val="22"/>
          <w:szCs w:val="22"/>
        </w:rPr>
        <w:lastRenderedPageBreak/>
        <w:t xml:space="preserve">Department of Health - Notifiable infectious Diseases Surveillance System. (2008 to 2012). </w:t>
      </w:r>
      <w:r w:rsidRPr="00471BCD">
        <w:rPr>
          <w:rStyle w:val="A12"/>
          <w:rFonts w:cs="DaxOT-Light"/>
          <w:i/>
          <w:color w:val="auto"/>
          <w:sz w:val="22"/>
          <w:szCs w:val="22"/>
        </w:rPr>
        <w:t>Sexually Transmissible Infections</w:t>
      </w:r>
      <w:r w:rsidRPr="00471BCD">
        <w:rPr>
          <w:rStyle w:val="A12"/>
          <w:rFonts w:cs="DaxOT-Light"/>
          <w:color w:val="auto"/>
          <w:sz w:val="22"/>
          <w:szCs w:val="22"/>
        </w:rPr>
        <w:t xml:space="preserve">.  Retrieved from the Victorian Child </w:t>
      </w:r>
      <w:r w:rsidRPr="00471BCD">
        <w:rPr>
          <w:rStyle w:val="A12"/>
          <w:rFonts w:cs="DaxOT-Light"/>
          <w:sz w:val="22"/>
          <w:szCs w:val="22"/>
        </w:rPr>
        <w:t>Monitoring</w:t>
      </w:r>
      <w:r w:rsidRPr="00471BCD">
        <w:rPr>
          <w:rStyle w:val="A12"/>
          <w:rFonts w:cs="DaxOT-Light"/>
          <w:color w:val="auto"/>
          <w:sz w:val="22"/>
          <w:szCs w:val="22"/>
        </w:rPr>
        <w:t xml:space="preserve"> System </w:t>
      </w:r>
      <w:r w:rsidRPr="00471BCD">
        <w:rPr>
          <w:rStyle w:val="A12"/>
          <w:rFonts w:cs="DaxOT-Light"/>
          <w:sz w:val="22"/>
          <w:szCs w:val="22"/>
        </w:rPr>
        <w:t xml:space="preserve">(VCAMS) </w:t>
      </w:r>
      <w:hyperlink r:id="rId39" w:history="1">
        <w:r w:rsidRPr="00471BCD">
          <w:rPr>
            <w:rStyle w:val="Hyperlink"/>
            <w:rFonts w:cs="DaxOT-Light"/>
          </w:rPr>
          <w:t>http://www.education.vic.gov.au/about/research/Pages/vcamstableau.aspx</w:t>
        </w:r>
      </w:hyperlink>
    </w:p>
    <w:p w:rsidR="008D01EE"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471BCD">
        <w:rPr>
          <w:rStyle w:val="A12"/>
          <w:rFonts w:cs="DaxOT-Light"/>
          <w:color w:val="auto"/>
          <w:sz w:val="22"/>
          <w:szCs w:val="22"/>
        </w:rPr>
        <w:t xml:space="preserve">Department of Health - Victorian Perinatal Data Collection. (2008 to 2012). </w:t>
      </w:r>
      <w:r w:rsidRPr="00471BCD">
        <w:rPr>
          <w:rStyle w:val="A12"/>
          <w:rFonts w:cs="DaxOT-Light"/>
          <w:i/>
          <w:color w:val="auto"/>
          <w:sz w:val="22"/>
          <w:szCs w:val="22"/>
        </w:rPr>
        <w:t>Teenage Fertility Rate</w:t>
      </w:r>
      <w:r w:rsidRPr="00471BCD">
        <w:rPr>
          <w:rStyle w:val="A12"/>
          <w:rFonts w:cs="DaxOT-Light"/>
          <w:color w:val="auto"/>
          <w:sz w:val="22"/>
          <w:szCs w:val="22"/>
        </w:rPr>
        <w:t xml:space="preserve">. Retrieved from </w:t>
      </w:r>
      <w:hyperlink r:id="rId40" w:history="1">
        <w:r w:rsidRPr="00471BCD">
          <w:rPr>
            <w:rStyle w:val="Hyperlink"/>
            <w:rFonts w:cs="DaxOT-Light"/>
          </w:rPr>
          <w:t>http://www.education.vic.gov.au/about/research/Pages/ vcamstableau.aspx</w:t>
        </w:r>
      </w:hyperlink>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0F4E28">
        <w:rPr>
          <w:rStyle w:val="A8"/>
          <w:sz w:val="22"/>
          <w:szCs w:val="22"/>
        </w:rPr>
        <w:t>Department of Health and Human Services</w:t>
      </w:r>
      <w:r w:rsidRPr="000F4E28">
        <w:rPr>
          <w:rStyle w:val="A8"/>
          <w:rFonts w:cs="DaxOT-Light"/>
          <w:sz w:val="22"/>
          <w:szCs w:val="22"/>
        </w:rPr>
        <w:t xml:space="preserve">. (2009 to 2013). </w:t>
      </w:r>
      <w:r w:rsidRPr="000F4E28">
        <w:rPr>
          <w:rStyle w:val="A8"/>
          <w:rFonts w:cs="DaxOT-Light"/>
          <w:i/>
          <w:sz w:val="22"/>
          <w:szCs w:val="22"/>
        </w:rPr>
        <w:t>Emergency Department Presentations for Illicit Substance Use</w:t>
      </w:r>
      <w:r w:rsidRPr="000F4E28">
        <w:rPr>
          <w:rStyle w:val="A8"/>
          <w:rFonts w:cs="DaxOT-Light"/>
          <w:sz w:val="22"/>
          <w:szCs w:val="22"/>
        </w:rPr>
        <w:t>. Retrieved from</w:t>
      </w:r>
      <w:r w:rsidRPr="000F4E28">
        <w:t xml:space="preserve"> </w:t>
      </w:r>
      <w:hyperlink r:id="rId41" w:history="1">
        <w:r w:rsidRPr="000F4E28">
          <w:rPr>
            <w:rStyle w:val="Hyperlink"/>
            <w:rFonts w:cs="DaxOT-Light"/>
          </w:rPr>
          <w:t>http://aodstats.org.au/</w:t>
        </w:r>
      </w:hyperlink>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
        </w:rPr>
      </w:pPr>
      <w:r w:rsidRPr="000F4E28">
        <w:rPr>
          <w:rFonts w:cs="DaxOT-Light"/>
        </w:rPr>
        <w:t>D</w:t>
      </w:r>
      <w:r w:rsidRPr="000F4E28">
        <w:rPr>
          <w:rFonts w:cs="DaxOT"/>
        </w:rPr>
        <w:t>epartment of Transport</w:t>
      </w:r>
      <w:r w:rsidRPr="000F4E28">
        <w:rPr>
          <w:rFonts w:cs="DaxOT-Light"/>
        </w:rPr>
        <w:t>. (</w:t>
      </w:r>
      <w:r w:rsidRPr="000F4E28">
        <w:rPr>
          <w:rFonts w:cs="DaxOT"/>
        </w:rPr>
        <w:t>2012</w:t>
      </w:r>
      <w:r w:rsidRPr="000F4E28">
        <w:rPr>
          <w:rFonts w:cs="DaxOT-Light"/>
        </w:rPr>
        <w:t xml:space="preserve">). </w:t>
      </w:r>
      <w:r w:rsidRPr="000F4E28">
        <w:rPr>
          <w:rFonts w:cs="DaxOT-Light"/>
          <w:i/>
        </w:rPr>
        <w:t>Access to public transport.</w:t>
      </w:r>
      <w:r w:rsidRPr="000F4E28">
        <w:rPr>
          <w:rFonts w:cs="DaxOT-Light"/>
        </w:rPr>
        <w:t xml:space="preserve"> Retrieved from </w:t>
      </w:r>
      <w:r w:rsidRPr="000F4E28">
        <w:rPr>
          <w:rFonts w:cs="DaxOT"/>
        </w:rPr>
        <w:t xml:space="preserve">Community Indicators Victoria </w:t>
      </w:r>
      <w:hyperlink r:id="rId42" w:history="1">
        <w:r w:rsidRPr="000F4E28">
          <w:rPr>
            <w:rStyle w:val="Hyperlink"/>
            <w:rFonts w:cs="DaxOT"/>
          </w:rPr>
          <w:t>http://www.communityindicators.net.au/</w:t>
        </w:r>
      </w:hyperlink>
    </w:p>
    <w:p w:rsidR="008D01EE" w:rsidRDefault="008D01EE" w:rsidP="008D01EE">
      <w:pPr>
        <w:pStyle w:val="ListParagraph"/>
        <w:numPr>
          <w:ilvl w:val="0"/>
          <w:numId w:val="20"/>
        </w:numPr>
        <w:autoSpaceDE w:val="0"/>
        <w:autoSpaceDN w:val="0"/>
        <w:adjustRightInd w:val="0"/>
        <w:spacing w:before="120" w:after="120" w:line="240" w:lineRule="auto"/>
        <w:rPr>
          <w:rFonts w:cs="DaxOT-Light"/>
        </w:rPr>
      </w:pPr>
      <w:r w:rsidRPr="000F4E28">
        <w:rPr>
          <w:rFonts w:cs="DaxOT-Light"/>
        </w:rPr>
        <w:t xml:space="preserve">Griffith University Urban Research Program. (2011). </w:t>
      </w:r>
      <w:r w:rsidRPr="000F4E28">
        <w:rPr>
          <w:rFonts w:cs="DaxOT-Light"/>
          <w:i/>
        </w:rPr>
        <w:t>Vulnerability Analysis of Mortgage, Petroleum and Inflation Risks and Expenditure (VAMPIRE)</w:t>
      </w:r>
      <w:r w:rsidRPr="000F4E28">
        <w:rPr>
          <w:rFonts w:cs="DaxOT-Light"/>
        </w:rPr>
        <w:t xml:space="preserve">. Retrieved from </w:t>
      </w:r>
      <w:hyperlink r:id="rId43" w:history="1">
        <w:r w:rsidRPr="000F4E28">
          <w:rPr>
            <w:rStyle w:val="Hyperlink"/>
            <w:rFonts w:cs="DaxOT-Light"/>
          </w:rPr>
          <w:t>https://aurin.org.au/projects/lens-sub-projects/vulnerability-analysis-of-mortgage-petroleum-and-inflation-risks-and-expenditure-vampire-index/</w:t>
        </w:r>
      </w:hyperlink>
    </w:p>
    <w:p w:rsidR="008D01EE"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471BCD">
        <w:rPr>
          <w:rStyle w:val="A12"/>
          <w:rFonts w:cs="DaxOT-Light"/>
          <w:color w:val="auto"/>
          <w:sz w:val="22"/>
          <w:szCs w:val="22"/>
        </w:rPr>
        <w:t xml:space="preserve">ID Forecasting. </w:t>
      </w:r>
      <w:r w:rsidRPr="00471BCD">
        <w:rPr>
          <w:rStyle w:val="A12"/>
          <w:rFonts w:cs="DaxOT-Light"/>
          <w:i/>
          <w:color w:val="auto"/>
          <w:sz w:val="22"/>
          <w:szCs w:val="22"/>
        </w:rPr>
        <w:t>Wyndham</w:t>
      </w:r>
      <w:r w:rsidRPr="00471BCD">
        <w:rPr>
          <w:rStyle w:val="A12"/>
          <w:rFonts w:cs="DaxOT-Light"/>
          <w:color w:val="auto"/>
          <w:sz w:val="22"/>
          <w:szCs w:val="22"/>
        </w:rPr>
        <w:t xml:space="preserve"> </w:t>
      </w:r>
      <w:r w:rsidRPr="00471BCD">
        <w:rPr>
          <w:rStyle w:val="A12"/>
          <w:rFonts w:cs="DaxOT-Light"/>
          <w:i/>
          <w:color w:val="auto"/>
          <w:sz w:val="22"/>
          <w:szCs w:val="22"/>
        </w:rPr>
        <w:t>Population Forecast 2016 to 2036</w:t>
      </w:r>
      <w:r w:rsidRPr="00471BCD">
        <w:rPr>
          <w:rStyle w:val="A12"/>
          <w:rFonts w:cs="DaxOT-Light"/>
          <w:color w:val="auto"/>
          <w:sz w:val="22"/>
          <w:szCs w:val="22"/>
        </w:rPr>
        <w:t xml:space="preserve">. Retrieved from </w:t>
      </w:r>
      <w:hyperlink r:id="rId44" w:history="1">
        <w:r w:rsidRPr="00471BCD">
          <w:rPr>
            <w:rStyle w:val="Hyperlink"/>
            <w:rFonts w:cs="DaxOT-Light"/>
          </w:rPr>
          <w:t>http://forecast.id.com.au/wyndham</w:t>
        </w:r>
      </w:hyperlink>
    </w:p>
    <w:p w:rsidR="008D01EE" w:rsidRPr="00471BCD" w:rsidRDefault="008D01EE" w:rsidP="008D01EE">
      <w:pPr>
        <w:pStyle w:val="ListParagraph"/>
        <w:numPr>
          <w:ilvl w:val="0"/>
          <w:numId w:val="20"/>
        </w:numPr>
        <w:autoSpaceDE w:val="0"/>
        <w:autoSpaceDN w:val="0"/>
        <w:adjustRightInd w:val="0"/>
        <w:spacing w:before="120" w:after="120" w:line="240" w:lineRule="auto"/>
        <w:rPr>
          <w:rFonts w:cs="DaxOT-Light"/>
        </w:rPr>
      </w:pPr>
      <w:r w:rsidRPr="00471BCD">
        <w:rPr>
          <w:rFonts w:cs="DaxOT-Light"/>
        </w:rPr>
        <w:t xml:space="preserve">Kessler R. Professor of Health Care Policy, Kessler Psychological Distress Scale (K10) Harvard Medical School, Boston, USA. </w:t>
      </w:r>
    </w:p>
    <w:p w:rsidR="008D01EE" w:rsidRPr="00471BCD" w:rsidRDefault="008D01EE" w:rsidP="008D01EE">
      <w:pPr>
        <w:pStyle w:val="ListParagraph"/>
        <w:numPr>
          <w:ilvl w:val="0"/>
          <w:numId w:val="20"/>
        </w:numPr>
        <w:spacing w:before="120" w:after="120"/>
        <w:rPr>
          <w:rFonts w:cs="DaxOT-Light"/>
        </w:rPr>
      </w:pPr>
      <w:r w:rsidRPr="000F4E28">
        <w:rPr>
          <w:rFonts w:cs="DaxOT"/>
        </w:rPr>
        <w:t>The Heart Foundation</w:t>
      </w:r>
      <w:r w:rsidRPr="000F4E28">
        <w:rPr>
          <w:rFonts w:cs="DaxOT-Light"/>
        </w:rPr>
        <w:t>. (</w:t>
      </w:r>
      <w:proofErr w:type="spellStart"/>
      <w:r w:rsidRPr="000F4E28">
        <w:rPr>
          <w:rFonts w:cs="DaxOT-Light"/>
        </w:rPr>
        <w:t>n.d</w:t>
      </w:r>
      <w:proofErr w:type="spellEnd"/>
      <w:r w:rsidRPr="000F4E28">
        <w:rPr>
          <w:rFonts w:cs="DaxOT-Light"/>
        </w:rPr>
        <w:t xml:space="preserve">). </w:t>
      </w:r>
      <w:r w:rsidRPr="000F4E28">
        <w:rPr>
          <w:rFonts w:cs="DaxOT-Light"/>
          <w:i/>
        </w:rPr>
        <w:t>Sit Less</w:t>
      </w:r>
      <w:r w:rsidRPr="000F4E28">
        <w:rPr>
          <w:rFonts w:cs="DaxOT-Light"/>
        </w:rPr>
        <w:t xml:space="preserve">. Retrieved from </w:t>
      </w:r>
      <w:hyperlink r:id="rId45" w:history="1">
        <w:r w:rsidRPr="000F4E28">
          <w:rPr>
            <w:rStyle w:val="Hyperlink"/>
            <w:rFonts w:cs="DaxOT"/>
          </w:rPr>
          <w:t>https://www.heartfoundation.org.au/active-living/sit-less</w:t>
        </w:r>
      </w:hyperlink>
      <w:r w:rsidRPr="000F4E28">
        <w:rPr>
          <w:rFonts w:cs="DaxOT"/>
        </w:rPr>
        <w:t xml:space="preserve"> </w:t>
      </w:r>
    </w:p>
    <w:p w:rsidR="008D01EE" w:rsidRPr="00471BCD" w:rsidRDefault="008D01EE" w:rsidP="008D01EE">
      <w:pPr>
        <w:pStyle w:val="ListParagraph"/>
        <w:numPr>
          <w:ilvl w:val="0"/>
          <w:numId w:val="20"/>
        </w:numPr>
        <w:spacing w:before="120" w:after="120"/>
        <w:rPr>
          <w:rStyle w:val="A12"/>
          <w:rFonts w:cs="DaxOT-Light"/>
          <w:color w:val="auto"/>
          <w:sz w:val="22"/>
          <w:szCs w:val="22"/>
        </w:rPr>
      </w:pPr>
      <w:r w:rsidRPr="00471BCD">
        <w:rPr>
          <w:rFonts w:cs="DaxOT-Light"/>
        </w:rPr>
        <w:t>T</w:t>
      </w:r>
      <w:r w:rsidRPr="00471BCD">
        <w:t>he Subjective Wellbeing Evaluation Toolki</w:t>
      </w:r>
      <w:r w:rsidRPr="00471BCD">
        <w:rPr>
          <w:rFonts w:cs="DaxOT-Light"/>
        </w:rPr>
        <w:t xml:space="preserve">t. Retrieved from </w:t>
      </w:r>
      <w:hyperlink r:id="rId46" w:history="1">
        <w:r w:rsidRPr="00471BCD">
          <w:rPr>
            <w:rStyle w:val="Hyperlink"/>
            <w:rFonts w:cs="DaxOT-Light"/>
          </w:rPr>
          <w:t>http://www.communityindicators.net.au/subjective_wellbeing_toolkit</w:t>
        </w:r>
      </w:hyperlink>
      <w:r w:rsidRPr="00471BCD">
        <w:rPr>
          <w:rFonts w:cs="DaxOT-Light"/>
        </w:rPr>
        <w:t xml:space="preserve"> </w:t>
      </w:r>
    </w:p>
    <w:p w:rsidR="008D01EE" w:rsidRPr="000F4E28"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0F4E28">
        <w:rPr>
          <w:rStyle w:val="A12"/>
          <w:rFonts w:cs="DaxOT-Light"/>
          <w:sz w:val="22"/>
          <w:szCs w:val="22"/>
        </w:rPr>
        <w:t>Victorian Curriculum and Assessment Authority. (2015</w:t>
      </w:r>
      <w:r w:rsidRPr="000F4E28">
        <w:rPr>
          <w:rStyle w:val="A12"/>
          <w:rFonts w:cs="DaxOT-Light"/>
          <w:i/>
          <w:sz w:val="22"/>
          <w:szCs w:val="22"/>
        </w:rPr>
        <w:t>). National Assessment Program Literacy and Numeracy (NAPLAN)</w:t>
      </w:r>
      <w:r w:rsidRPr="000F4E28">
        <w:rPr>
          <w:rStyle w:val="A12"/>
          <w:rFonts w:cs="DaxOT-Light"/>
          <w:sz w:val="22"/>
          <w:szCs w:val="22"/>
        </w:rPr>
        <w:t xml:space="preserve">. Retrieved from </w:t>
      </w:r>
      <w:hyperlink r:id="rId47" w:history="1">
        <w:r w:rsidRPr="000F4E28">
          <w:rPr>
            <w:rStyle w:val="Hyperlink"/>
            <w:rFonts w:cs="DaxOT-Light"/>
          </w:rPr>
          <w:t>https://www.data.vic.gov.au/data/dataset?q=NAPLAN</w:t>
        </w:r>
      </w:hyperlink>
      <w:r w:rsidRPr="000F4E28">
        <w:rPr>
          <w:rStyle w:val="A12"/>
          <w:rFonts w:cs="DaxOT-Light"/>
          <w:sz w:val="22"/>
          <w:szCs w:val="22"/>
        </w:rPr>
        <w:t xml:space="preserve"> </w:t>
      </w:r>
    </w:p>
    <w:p w:rsidR="0032037A" w:rsidRDefault="0032037A" w:rsidP="0032037A">
      <w:pPr>
        <w:pStyle w:val="ListParagraph"/>
        <w:numPr>
          <w:ilvl w:val="0"/>
          <w:numId w:val="20"/>
        </w:numPr>
        <w:autoSpaceDE w:val="0"/>
        <w:autoSpaceDN w:val="0"/>
        <w:adjustRightInd w:val="0"/>
        <w:spacing w:before="120" w:after="120" w:line="240" w:lineRule="auto"/>
        <w:rPr>
          <w:rStyle w:val="A15"/>
          <w:rFonts w:cs="DaxOT-Light"/>
          <w:sz w:val="22"/>
          <w:szCs w:val="22"/>
        </w:rPr>
      </w:pPr>
      <w:proofErr w:type="spellStart"/>
      <w:r w:rsidRPr="000F4E28">
        <w:rPr>
          <w:rStyle w:val="A15"/>
          <w:rFonts w:cs="DaxOT-Light"/>
          <w:sz w:val="22"/>
          <w:szCs w:val="22"/>
        </w:rPr>
        <w:t>VicHealth</w:t>
      </w:r>
      <w:proofErr w:type="spellEnd"/>
      <w:r w:rsidRPr="000F4E28">
        <w:rPr>
          <w:rStyle w:val="A15"/>
          <w:rFonts w:cs="DaxOT-Light"/>
          <w:sz w:val="22"/>
          <w:szCs w:val="22"/>
        </w:rPr>
        <w:t xml:space="preserve">. (2012). </w:t>
      </w:r>
      <w:r w:rsidRPr="000F4E28">
        <w:rPr>
          <w:rStyle w:val="A15"/>
          <w:rFonts w:cs="DaxOT-Light"/>
          <w:i/>
          <w:sz w:val="22"/>
          <w:szCs w:val="22"/>
        </w:rPr>
        <w:t>Preventing violence against women</w:t>
      </w:r>
      <w:r w:rsidRPr="000F4E28">
        <w:rPr>
          <w:rStyle w:val="A15"/>
          <w:rFonts w:cs="DaxOT-Light"/>
          <w:sz w:val="22"/>
          <w:szCs w:val="22"/>
        </w:rPr>
        <w:t xml:space="preserve">. Retrieved from </w:t>
      </w:r>
      <w:hyperlink r:id="rId48" w:history="1">
        <w:r w:rsidRPr="000F4E28">
          <w:rPr>
            <w:rStyle w:val="Hyperlink"/>
            <w:rFonts w:cs="DaxOT-Light"/>
          </w:rPr>
          <w:t>https://www.vichealth.vic.gov.au/our-work/preventing-violence-against-women</w:t>
        </w:r>
      </w:hyperlink>
      <w:r w:rsidRPr="000F4E28">
        <w:rPr>
          <w:rStyle w:val="A15"/>
          <w:rFonts w:cs="DaxOT-Light"/>
          <w:sz w:val="22"/>
          <w:szCs w:val="22"/>
        </w:rPr>
        <w:t xml:space="preserve"> </w:t>
      </w:r>
    </w:p>
    <w:p w:rsidR="008D01EE" w:rsidRPr="00471BCD" w:rsidRDefault="008D01EE" w:rsidP="008D01EE">
      <w:pPr>
        <w:pStyle w:val="ListParagraph"/>
        <w:numPr>
          <w:ilvl w:val="0"/>
          <w:numId w:val="20"/>
        </w:numPr>
        <w:autoSpaceDE w:val="0"/>
        <w:autoSpaceDN w:val="0"/>
        <w:adjustRightInd w:val="0"/>
        <w:spacing w:before="120" w:after="120" w:line="240" w:lineRule="auto"/>
        <w:rPr>
          <w:rFonts w:cs="DaxOT-Light"/>
          <w:color w:val="000000"/>
        </w:rPr>
      </w:pPr>
      <w:proofErr w:type="spellStart"/>
      <w:r w:rsidRPr="00471BCD">
        <w:t>VicHealth</w:t>
      </w:r>
      <w:proofErr w:type="spellEnd"/>
      <w:r w:rsidRPr="00471BCD">
        <w:t xml:space="preserve">. </w:t>
      </w:r>
      <w:r w:rsidRPr="00471BCD">
        <w:rPr>
          <w:rFonts w:cs="DaxOT-Light"/>
        </w:rPr>
        <w:t xml:space="preserve">(2011). </w:t>
      </w:r>
      <w:proofErr w:type="spellStart"/>
      <w:r w:rsidRPr="00471BCD">
        <w:rPr>
          <w:rFonts w:cs="DaxOT-Light"/>
          <w:i/>
        </w:rPr>
        <w:t>VicHealth</w:t>
      </w:r>
      <w:proofErr w:type="spellEnd"/>
      <w:r w:rsidRPr="00471BCD">
        <w:rPr>
          <w:rFonts w:cs="DaxOT-Light"/>
          <w:i/>
        </w:rPr>
        <w:t xml:space="preserve"> </w:t>
      </w:r>
      <w:r w:rsidRPr="00471BCD">
        <w:rPr>
          <w:i/>
        </w:rPr>
        <w:t>Indicators Survey - LGA Profiles</w:t>
      </w:r>
      <w:r w:rsidRPr="00471BCD">
        <w:rPr>
          <w:rFonts w:cs="DaxOT-Light"/>
        </w:rPr>
        <w:t xml:space="preserve">. Retrieved from </w:t>
      </w:r>
      <w:hyperlink r:id="rId49" w:history="1">
        <w:r w:rsidRPr="00471BCD">
          <w:rPr>
            <w:rStyle w:val="Hyperlink"/>
            <w:rFonts w:cs="DaxOT-Light"/>
          </w:rPr>
          <w:t>https://www.vichealth.vic.gov.au/</w:t>
        </w:r>
      </w:hyperlink>
      <w:r w:rsidRPr="00471BCD">
        <w:rPr>
          <w:rFonts w:cs="DaxOT-Light"/>
        </w:rPr>
        <w:t xml:space="preserve"> </w:t>
      </w:r>
    </w:p>
    <w:p w:rsidR="008D01EE" w:rsidRDefault="008D01EE" w:rsidP="008D01EE">
      <w:pPr>
        <w:pStyle w:val="ListParagraph"/>
        <w:numPr>
          <w:ilvl w:val="0"/>
          <w:numId w:val="20"/>
        </w:numPr>
        <w:autoSpaceDE w:val="0"/>
        <w:autoSpaceDN w:val="0"/>
        <w:adjustRightInd w:val="0"/>
        <w:spacing w:before="120" w:after="120" w:line="240" w:lineRule="auto"/>
        <w:rPr>
          <w:rFonts w:cs="DaxOT"/>
        </w:rPr>
      </w:pPr>
      <w:proofErr w:type="spellStart"/>
      <w:r w:rsidRPr="000F4E28">
        <w:rPr>
          <w:rFonts w:cs="DaxOT-Light"/>
        </w:rPr>
        <w:t>V</w:t>
      </w:r>
      <w:r w:rsidRPr="000F4E28">
        <w:rPr>
          <w:rFonts w:cs="DaxOT"/>
        </w:rPr>
        <w:t>icHealth</w:t>
      </w:r>
      <w:proofErr w:type="spellEnd"/>
      <w:r>
        <w:rPr>
          <w:rFonts w:cs="DaxOT"/>
        </w:rPr>
        <w:t xml:space="preserve">. (2011). </w:t>
      </w:r>
      <w:proofErr w:type="spellStart"/>
      <w:r w:rsidRPr="00AD3B3B">
        <w:rPr>
          <w:rFonts w:cs="DaxOT"/>
          <w:i/>
        </w:rPr>
        <w:t>VicHealth</w:t>
      </w:r>
      <w:proofErr w:type="spellEnd"/>
      <w:r w:rsidRPr="00AD3B3B">
        <w:rPr>
          <w:rFonts w:cs="DaxOT"/>
          <w:i/>
        </w:rPr>
        <w:t xml:space="preserve"> Indicator Survey</w:t>
      </w:r>
      <w:r w:rsidRPr="000F4E28">
        <w:rPr>
          <w:rFonts w:cs="DaxOT-Light"/>
        </w:rPr>
        <w:t xml:space="preserve">. Retrieved from </w:t>
      </w:r>
      <w:r w:rsidRPr="000F4E28">
        <w:rPr>
          <w:rFonts w:cs="DaxOT"/>
        </w:rPr>
        <w:t xml:space="preserve">Community Indicators Victoria </w:t>
      </w:r>
      <w:hyperlink r:id="rId50" w:history="1">
        <w:r w:rsidRPr="000F4E28">
          <w:rPr>
            <w:rStyle w:val="Hyperlink"/>
            <w:rFonts w:cs="DaxOT"/>
          </w:rPr>
          <w:t>http://www.communityindicators.net.au/</w:t>
        </w:r>
      </w:hyperlink>
    </w:p>
    <w:p w:rsidR="008D01EE" w:rsidRPr="00471BCD" w:rsidRDefault="008D01EE" w:rsidP="008D01EE">
      <w:pPr>
        <w:pStyle w:val="ListParagraph"/>
        <w:numPr>
          <w:ilvl w:val="0"/>
          <w:numId w:val="20"/>
        </w:numPr>
        <w:autoSpaceDE w:val="0"/>
        <w:autoSpaceDN w:val="0"/>
        <w:adjustRightInd w:val="0"/>
        <w:spacing w:before="120" w:after="120" w:line="240" w:lineRule="auto"/>
        <w:rPr>
          <w:rFonts w:cs="DaxOT"/>
        </w:rPr>
      </w:pPr>
      <w:proofErr w:type="spellStart"/>
      <w:r w:rsidRPr="00471BCD">
        <w:t>VicHealth</w:t>
      </w:r>
      <w:proofErr w:type="spellEnd"/>
      <w:r w:rsidRPr="00471BCD">
        <w:t xml:space="preserve">. </w:t>
      </w:r>
      <w:r w:rsidRPr="00471BCD">
        <w:rPr>
          <w:rFonts w:cs="DaxOT-Light"/>
        </w:rPr>
        <w:t xml:space="preserve">(2015). </w:t>
      </w:r>
      <w:proofErr w:type="spellStart"/>
      <w:r w:rsidRPr="00471BCD">
        <w:rPr>
          <w:rFonts w:cs="DaxOT-Light"/>
          <w:i/>
        </w:rPr>
        <w:t>VicHealth</w:t>
      </w:r>
      <w:proofErr w:type="spellEnd"/>
      <w:r w:rsidRPr="00471BCD">
        <w:rPr>
          <w:rFonts w:cs="DaxOT-Light"/>
          <w:i/>
        </w:rPr>
        <w:t xml:space="preserve"> </w:t>
      </w:r>
      <w:r w:rsidRPr="00471BCD">
        <w:rPr>
          <w:i/>
        </w:rPr>
        <w:t>Indicators Survey - LGA Profiles</w:t>
      </w:r>
      <w:r w:rsidRPr="00471BCD">
        <w:rPr>
          <w:rFonts w:cs="DaxOT-Light"/>
        </w:rPr>
        <w:t xml:space="preserve">. Retrieved from </w:t>
      </w:r>
      <w:hyperlink r:id="rId51" w:history="1">
        <w:r w:rsidRPr="00471BCD">
          <w:rPr>
            <w:rStyle w:val="Hyperlink"/>
            <w:rFonts w:cs="DaxOT-Light"/>
          </w:rPr>
          <w:t>https://www.vichealth.vic.gov.au/</w:t>
        </w:r>
      </w:hyperlink>
      <w:r w:rsidRPr="00471BCD">
        <w:rPr>
          <w:rFonts w:cs="DaxOT-Light"/>
        </w:rPr>
        <w:t xml:space="preserve"> </w:t>
      </w:r>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color w:val="000000"/>
        </w:rPr>
      </w:pPr>
      <w:proofErr w:type="spellStart"/>
      <w:r w:rsidRPr="000F4E28">
        <w:rPr>
          <w:rStyle w:val="A15"/>
          <w:sz w:val="22"/>
          <w:szCs w:val="22"/>
        </w:rPr>
        <w:t>VicHealth</w:t>
      </w:r>
      <w:proofErr w:type="spellEnd"/>
      <w:r w:rsidRPr="000F4E28">
        <w:rPr>
          <w:rStyle w:val="A15"/>
          <w:rFonts w:cs="DaxOT-Light"/>
          <w:sz w:val="22"/>
          <w:szCs w:val="22"/>
        </w:rPr>
        <w:t>. (</w:t>
      </w:r>
      <w:r w:rsidRPr="000F4E28">
        <w:rPr>
          <w:rStyle w:val="A15"/>
          <w:sz w:val="22"/>
          <w:szCs w:val="22"/>
        </w:rPr>
        <w:t>2011</w:t>
      </w:r>
      <w:r w:rsidRPr="000F4E28">
        <w:rPr>
          <w:rStyle w:val="A15"/>
          <w:rFonts w:cs="DaxOT-Light"/>
          <w:sz w:val="22"/>
          <w:szCs w:val="22"/>
        </w:rPr>
        <w:t xml:space="preserve">). </w:t>
      </w:r>
      <w:r w:rsidRPr="000F4E28">
        <w:rPr>
          <w:rStyle w:val="A15"/>
          <w:rFonts w:cs="DaxOT-Light"/>
          <w:i/>
          <w:sz w:val="22"/>
          <w:szCs w:val="22"/>
        </w:rPr>
        <w:t>Violence against women in Australia: Research summary</w:t>
      </w:r>
      <w:r w:rsidRPr="000F4E28">
        <w:rPr>
          <w:rStyle w:val="A15"/>
          <w:rFonts w:cs="DaxOT-Light"/>
          <w:sz w:val="22"/>
          <w:szCs w:val="22"/>
        </w:rPr>
        <w:t xml:space="preserve">. Retrieved from </w:t>
      </w:r>
      <w:hyperlink r:id="rId52" w:history="1">
        <w:r w:rsidRPr="000F4E28">
          <w:rPr>
            <w:rStyle w:val="Hyperlink"/>
            <w:rFonts w:cs="DaxOT-Light"/>
          </w:rPr>
          <w:t>https://www.vichealth.vic.gov.au/media-and-resources/publications/ violence-against-women-in-</w:t>
        </w:r>
        <w:proofErr w:type="spellStart"/>
        <w:r w:rsidRPr="000F4E28">
          <w:rPr>
            <w:rStyle w:val="Hyperlink"/>
            <w:rFonts w:cs="DaxOT-Light"/>
          </w:rPr>
          <w:t>australia</w:t>
        </w:r>
        <w:proofErr w:type="spellEnd"/>
        <w:r w:rsidRPr="000F4E28">
          <w:rPr>
            <w:rStyle w:val="Hyperlink"/>
            <w:rFonts w:cs="DaxOT-Light"/>
          </w:rPr>
          <w:t>-research-summary</w:t>
        </w:r>
      </w:hyperlink>
    </w:p>
    <w:p w:rsidR="008D01EE" w:rsidRDefault="008D01EE" w:rsidP="008D01EE">
      <w:pPr>
        <w:pStyle w:val="ListParagraph"/>
        <w:numPr>
          <w:ilvl w:val="0"/>
          <w:numId w:val="20"/>
        </w:numPr>
        <w:autoSpaceDE w:val="0"/>
        <w:autoSpaceDN w:val="0"/>
        <w:adjustRightInd w:val="0"/>
        <w:spacing w:before="120" w:after="120" w:line="240" w:lineRule="auto"/>
        <w:rPr>
          <w:rStyle w:val="A15"/>
          <w:rFonts w:cs="DaxOT-Light"/>
          <w:sz w:val="22"/>
          <w:szCs w:val="22"/>
        </w:rPr>
      </w:pPr>
      <w:r w:rsidRPr="000F4E28">
        <w:rPr>
          <w:rStyle w:val="A15"/>
          <w:sz w:val="22"/>
          <w:szCs w:val="22"/>
        </w:rPr>
        <w:t>VicRoads</w:t>
      </w:r>
      <w:r w:rsidRPr="000F4E28">
        <w:rPr>
          <w:rStyle w:val="A15"/>
          <w:rFonts w:cs="DaxOT-Light"/>
          <w:sz w:val="22"/>
          <w:szCs w:val="22"/>
        </w:rPr>
        <w:t xml:space="preserve">. (2011 to </w:t>
      </w:r>
      <w:r w:rsidRPr="000F4E28">
        <w:rPr>
          <w:rStyle w:val="A15"/>
          <w:sz w:val="22"/>
          <w:szCs w:val="22"/>
        </w:rPr>
        <w:t>2016</w:t>
      </w:r>
      <w:r w:rsidRPr="000F4E28">
        <w:rPr>
          <w:rStyle w:val="A15"/>
          <w:rFonts w:cs="DaxOT-Light"/>
          <w:sz w:val="22"/>
          <w:szCs w:val="22"/>
        </w:rPr>
        <w:t xml:space="preserve">). </w:t>
      </w:r>
      <w:r w:rsidRPr="000F4E28">
        <w:rPr>
          <w:rStyle w:val="A15"/>
          <w:rFonts w:cs="DaxOT-Light"/>
          <w:i/>
          <w:sz w:val="22"/>
          <w:szCs w:val="22"/>
        </w:rPr>
        <w:t>Crash Statistics - Wyndham</w:t>
      </w:r>
      <w:r w:rsidRPr="000F4E28">
        <w:rPr>
          <w:rStyle w:val="A15"/>
          <w:rFonts w:cs="DaxOT-Light"/>
          <w:sz w:val="22"/>
          <w:szCs w:val="22"/>
        </w:rPr>
        <w:t xml:space="preserve">. Retrieved from </w:t>
      </w:r>
      <w:hyperlink r:id="rId53" w:history="1">
        <w:r w:rsidRPr="000F4E28">
          <w:rPr>
            <w:rStyle w:val="Hyperlink"/>
            <w:rFonts w:cs="DaxOT-Light"/>
          </w:rPr>
          <w:t>https://www.vicroads.vic.gov.au/safety-and-road-rules/safety-statistics/crash-statistics</w:t>
        </w:r>
      </w:hyperlink>
    </w:p>
    <w:p w:rsidR="008D01EE" w:rsidRPr="00471BCD"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471BCD">
        <w:t xml:space="preserve">Victorian Legal Aid. (2017). </w:t>
      </w:r>
      <w:r w:rsidRPr="00471BCD">
        <w:rPr>
          <w:i/>
        </w:rPr>
        <w:t>Victims of Crime.</w:t>
      </w:r>
      <w:r w:rsidRPr="00471BCD">
        <w:t xml:space="preserve"> Retrieved from </w:t>
      </w:r>
      <w:hyperlink r:id="rId54" w:history="1">
        <w:r w:rsidRPr="00471BCD">
          <w:rPr>
            <w:rStyle w:val="Hyperlink"/>
          </w:rPr>
          <w:t>http://www.legalaid.vic.gov.au/find-legal-answers/victims-of-crime</w:t>
        </w:r>
      </w:hyperlink>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Light"/>
        </w:rPr>
      </w:pPr>
      <w:r w:rsidRPr="000F4E28">
        <w:rPr>
          <w:rFonts w:cs="DaxOT-Light"/>
        </w:rPr>
        <w:t xml:space="preserve">Victorian Planning Authority. (2014). </w:t>
      </w:r>
      <w:r w:rsidRPr="000F4E28">
        <w:rPr>
          <w:rFonts w:cs="DaxOT-Light"/>
          <w:i/>
        </w:rPr>
        <w:t>Open data site -VP</w:t>
      </w:r>
      <w:r>
        <w:rPr>
          <w:rFonts w:cs="DaxOT-Light"/>
          <w:i/>
        </w:rPr>
        <w:t>A open space</w:t>
      </w:r>
      <w:r w:rsidRPr="000F4E28">
        <w:rPr>
          <w:rFonts w:cs="DaxOT-Light"/>
        </w:rPr>
        <w:t xml:space="preserve">. Retrieved from </w:t>
      </w:r>
      <w:hyperlink r:id="rId55" w:history="1">
        <w:r w:rsidRPr="000F4E28">
          <w:rPr>
            <w:rStyle w:val="Hyperlink"/>
            <w:rFonts w:cs="DaxOT-Light"/>
          </w:rPr>
          <w:t>http://data-planvic.opendata.arcgis.com/datasets/</w:t>
        </w:r>
      </w:hyperlink>
      <w:r w:rsidRPr="000F4E28">
        <w:rPr>
          <w:rFonts w:cs="DaxOT-Light"/>
        </w:rPr>
        <w:t xml:space="preserve"> </w:t>
      </w:r>
    </w:p>
    <w:p w:rsidR="008D01EE" w:rsidRPr="000F4E28" w:rsidRDefault="008D01EE" w:rsidP="008D01EE">
      <w:pPr>
        <w:pStyle w:val="ListParagraph"/>
        <w:numPr>
          <w:ilvl w:val="0"/>
          <w:numId w:val="20"/>
        </w:numPr>
        <w:spacing w:before="120" w:after="120"/>
        <w:rPr>
          <w:rStyle w:val="A8"/>
          <w:rFonts w:cs="DaxOT-Light"/>
          <w:sz w:val="22"/>
          <w:szCs w:val="22"/>
        </w:rPr>
      </w:pPr>
      <w:r w:rsidRPr="000F4E28">
        <w:rPr>
          <w:rStyle w:val="A8"/>
          <w:sz w:val="22"/>
          <w:szCs w:val="22"/>
        </w:rPr>
        <w:t>Victorian Responsible Gambling Foundation</w:t>
      </w:r>
      <w:r w:rsidRPr="000F4E28">
        <w:rPr>
          <w:rStyle w:val="A8"/>
          <w:rFonts w:cs="DaxOT-Light"/>
          <w:sz w:val="22"/>
          <w:szCs w:val="22"/>
        </w:rPr>
        <w:t>. (2015-16</w:t>
      </w:r>
      <w:r w:rsidRPr="000F4E28">
        <w:rPr>
          <w:rStyle w:val="A8"/>
          <w:rFonts w:cs="DaxOT-Light"/>
          <w:i/>
          <w:sz w:val="22"/>
          <w:szCs w:val="22"/>
        </w:rPr>
        <w:t>). Pokies in your local government area</w:t>
      </w:r>
      <w:r w:rsidRPr="000F4E28">
        <w:rPr>
          <w:rStyle w:val="A8"/>
          <w:rFonts w:cs="DaxOT-Light"/>
          <w:sz w:val="22"/>
          <w:szCs w:val="22"/>
        </w:rPr>
        <w:t xml:space="preserve">. Retrieved from </w:t>
      </w:r>
      <w:hyperlink r:id="rId56" w:history="1">
        <w:r w:rsidRPr="000F4E28">
          <w:rPr>
            <w:rStyle w:val="Hyperlink"/>
            <w:rFonts w:cs="DaxOT-Light"/>
          </w:rPr>
          <w:t>https://www.responsiblegambling.vic.gov.au/ information-and-resources/your-local-government-area</w:t>
        </w:r>
      </w:hyperlink>
      <w:r w:rsidRPr="000F4E28">
        <w:rPr>
          <w:rStyle w:val="A8"/>
          <w:rFonts w:cs="DaxOT-Light"/>
          <w:sz w:val="22"/>
          <w:szCs w:val="22"/>
        </w:rPr>
        <w:t xml:space="preserve"> </w:t>
      </w:r>
    </w:p>
    <w:p w:rsidR="008D01EE" w:rsidRDefault="008D01EE" w:rsidP="008D01EE">
      <w:pPr>
        <w:pStyle w:val="ListParagraph"/>
        <w:numPr>
          <w:ilvl w:val="0"/>
          <w:numId w:val="20"/>
        </w:numPr>
        <w:autoSpaceDE w:val="0"/>
        <w:autoSpaceDN w:val="0"/>
        <w:adjustRightInd w:val="0"/>
        <w:spacing w:before="120" w:after="120" w:line="240" w:lineRule="auto"/>
      </w:pPr>
      <w:r w:rsidRPr="000F4E28">
        <w:t xml:space="preserve">Who Health Organisation. (2015). </w:t>
      </w:r>
      <w:r w:rsidRPr="000F4E28">
        <w:rPr>
          <w:i/>
        </w:rPr>
        <w:t>Gender</w:t>
      </w:r>
      <w:r w:rsidRPr="000F4E28">
        <w:t xml:space="preserve">. [Fact Sheet No. 403]. Retrieved from </w:t>
      </w:r>
      <w:hyperlink r:id="rId57" w:history="1">
        <w:r w:rsidRPr="000F4E28">
          <w:rPr>
            <w:rStyle w:val="Hyperlink"/>
          </w:rPr>
          <w:t>http://www.who.int/mediacentre/factsheets/fs403/en/</w:t>
        </w:r>
      </w:hyperlink>
      <w:r w:rsidRPr="000F4E28">
        <w:t xml:space="preserve"> </w:t>
      </w:r>
    </w:p>
    <w:p w:rsidR="008D01EE" w:rsidRPr="00471BCD" w:rsidRDefault="008D01EE" w:rsidP="008D01EE">
      <w:pPr>
        <w:pStyle w:val="ListParagraph"/>
        <w:numPr>
          <w:ilvl w:val="0"/>
          <w:numId w:val="20"/>
        </w:numPr>
        <w:autoSpaceDE w:val="0"/>
        <w:autoSpaceDN w:val="0"/>
        <w:adjustRightInd w:val="0"/>
        <w:spacing w:before="120" w:after="120" w:line="240" w:lineRule="auto"/>
      </w:pPr>
      <w:r w:rsidRPr="00471BCD">
        <w:t>World Health Organisation</w:t>
      </w:r>
      <w:r w:rsidRPr="00471BCD">
        <w:rPr>
          <w:rFonts w:cs="DaxOT-Light"/>
        </w:rPr>
        <w:t xml:space="preserve">. (2016). </w:t>
      </w:r>
      <w:proofErr w:type="gramStart"/>
      <w:r w:rsidRPr="00471BCD">
        <w:rPr>
          <w:rFonts w:cs="DaxOT-Light"/>
          <w:i/>
        </w:rPr>
        <w:t>What</w:t>
      </w:r>
      <w:proofErr w:type="gramEnd"/>
      <w:r w:rsidRPr="00471BCD">
        <w:rPr>
          <w:rFonts w:cs="DaxOT-Light"/>
          <w:i/>
        </w:rPr>
        <w:t xml:space="preserve"> is Mental Health?</w:t>
      </w:r>
      <w:r w:rsidRPr="00471BCD">
        <w:rPr>
          <w:rFonts w:cs="DaxOT-Light"/>
        </w:rPr>
        <w:t xml:space="preserve"> Retrieved from </w:t>
      </w:r>
      <w:hyperlink r:id="rId58" w:history="1">
        <w:r w:rsidRPr="00471BCD">
          <w:rPr>
            <w:rStyle w:val="Hyperlink"/>
            <w:rFonts w:cs="DaxOT-Light"/>
          </w:rPr>
          <w:t>https://www.beyondblue.org.au/the-facts/what-is-mental-health</w:t>
        </w:r>
      </w:hyperlink>
      <w:r w:rsidRPr="00471BCD">
        <w:rPr>
          <w:rFonts w:cs="DaxOT-Light"/>
        </w:rPr>
        <w:t xml:space="preserve"> </w:t>
      </w:r>
    </w:p>
    <w:p w:rsidR="0032037A" w:rsidRPr="000F4E28" w:rsidRDefault="0032037A" w:rsidP="0032037A">
      <w:pPr>
        <w:pStyle w:val="ListParagraph"/>
        <w:numPr>
          <w:ilvl w:val="0"/>
          <w:numId w:val="20"/>
        </w:numPr>
        <w:spacing w:before="120" w:after="120"/>
      </w:pPr>
      <w:r w:rsidRPr="000F4E28">
        <w:rPr>
          <w:rStyle w:val="A8"/>
          <w:sz w:val="22"/>
          <w:szCs w:val="22"/>
        </w:rPr>
        <w:lastRenderedPageBreak/>
        <w:t>World Health Organisation</w:t>
      </w:r>
      <w:r w:rsidRPr="000F4E28">
        <w:rPr>
          <w:rStyle w:val="A8"/>
          <w:rFonts w:cs="DaxOT-Light"/>
          <w:sz w:val="22"/>
          <w:szCs w:val="22"/>
        </w:rPr>
        <w:t xml:space="preserve">. (2017). </w:t>
      </w:r>
      <w:r w:rsidRPr="000F4E28">
        <w:rPr>
          <w:rStyle w:val="A8"/>
          <w:rFonts w:cs="DaxOT-Light"/>
          <w:i/>
          <w:sz w:val="22"/>
          <w:szCs w:val="22"/>
        </w:rPr>
        <w:t>Substance Abuse</w:t>
      </w:r>
      <w:r w:rsidRPr="000F4E28">
        <w:rPr>
          <w:rStyle w:val="A8"/>
          <w:rFonts w:cs="DaxOT-Light"/>
          <w:sz w:val="22"/>
          <w:szCs w:val="22"/>
        </w:rPr>
        <w:t xml:space="preserve">. Retrieved from </w:t>
      </w:r>
      <w:hyperlink r:id="rId59" w:history="1">
        <w:r w:rsidRPr="000F4E28">
          <w:rPr>
            <w:rStyle w:val="Hyperlink"/>
            <w:rFonts w:cs="DaxOT-Light"/>
          </w:rPr>
          <w:t>http://www.who.int/topics/substance_abuse/en/</w:t>
        </w:r>
      </w:hyperlink>
    </w:p>
    <w:p w:rsidR="008D01EE" w:rsidRPr="000F4E28" w:rsidRDefault="008D01EE" w:rsidP="008D01EE">
      <w:pPr>
        <w:pStyle w:val="ListParagraph"/>
        <w:numPr>
          <w:ilvl w:val="0"/>
          <w:numId w:val="20"/>
        </w:numPr>
        <w:autoSpaceDE w:val="0"/>
        <w:autoSpaceDN w:val="0"/>
        <w:adjustRightInd w:val="0"/>
        <w:spacing w:before="120" w:after="120" w:line="240" w:lineRule="auto"/>
        <w:rPr>
          <w:rFonts w:cs="DaxOT"/>
        </w:rPr>
      </w:pPr>
      <w:r w:rsidRPr="000F4E28">
        <w:rPr>
          <w:rFonts w:cs="DaxOT-Light"/>
        </w:rPr>
        <w:t>World Health Organisation, H</w:t>
      </w:r>
      <w:r w:rsidRPr="000F4E28">
        <w:rPr>
          <w:rFonts w:cs="DaxOT"/>
        </w:rPr>
        <w:t>ealth Impact Assessment (HIA)</w:t>
      </w:r>
      <w:r>
        <w:rPr>
          <w:rFonts w:cs="DaxOT-Light"/>
        </w:rPr>
        <w:t xml:space="preserve">. (2017). </w:t>
      </w:r>
      <w:proofErr w:type="gramStart"/>
      <w:r w:rsidRPr="0032037A">
        <w:rPr>
          <w:rFonts w:cs="DaxOT-Light"/>
          <w:i/>
        </w:rPr>
        <w:t>The</w:t>
      </w:r>
      <w:proofErr w:type="gramEnd"/>
      <w:r w:rsidRPr="0032037A">
        <w:rPr>
          <w:rFonts w:cs="DaxOT-Light"/>
          <w:i/>
        </w:rPr>
        <w:t xml:space="preserve"> determinants of health</w:t>
      </w:r>
      <w:r w:rsidRPr="000F4E28">
        <w:rPr>
          <w:rFonts w:cs="DaxOT-Light"/>
        </w:rPr>
        <w:t>. Retrieved from htt</w:t>
      </w:r>
      <w:r w:rsidRPr="000F4E28">
        <w:rPr>
          <w:rFonts w:cs="DaxOT"/>
        </w:rPr>
        <w:t xml:space="preserve">p://www.who.int/hia/evidence/doh/en/ </w:t>
      </w:r>
    </w:p>
    <w:p w:rsidR="008D01EE" w:rsidRPr="008D01EE"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0F4E28">
        <w:rPr>
          <w:rStyle w:val="A15"/>
          <w:rFonts w:cs="DaxOT-Light"/>
          <w:sz w:val="22"/>
          <w:szCs w:val="22"/>
        </w:rPr>
        <w:t xml:space="preserve">Wyndham City Council (2015). </w:t>
      </w:r>
      <w:r w:rsidRPr="000F4E28">
        <w:rPr>
          <w:rStyle w:val="A15"/>
          <w:rFonts w:cs="DaxOT-Light"/>
          <w:i/>
          <w:sz w:val="22"/>
          <w:szCs w:val="22"/>
        </w:rPr>
        <w:t>Annual Community Satisfaction Survey</w:t>
      </w:r>
      <w:r w:rsidRPr="000F4E28">
        <w:rPr>
          <w:rStyle w:val="A15"/>
          <w:rFonts w:cs="DaxOT-Light"/>
          <w:sz w:val="22"/>
          <w:szCs w:val="22"/>
        </w:rPr>
        <w:t xml:space="preserve">. Retrieved from </w:t>
      </w:r>
      <w:hyperlink r:id="rId60" w:history="1">
        <w:r w:rsidRPr="000F4E28">
          <w:rPr>
            <w:rStyle w:val="Hyperlink"/>
            <w:rFonts w:cs="DaxOT-Light"/>
          </w:rPr>
          <w:t>https://www.wyndham.vic.gov.au/about-council/wyndham-community/demographics-population-overview</w:t>
        </w:r>
      </w:hyperlink>
    </w:p>
    <w:p w:rsidR="000F4E28" w:rsidRPr="008D01EE" w:rsidRDefault="008D01EE" w:rsidP="008D01EE">
      <w:pPr>
        <w:pStyle w:val="ListParagraph"/>
        <w:numPr>
          <w:ilvl w:val="0"/>
          <w:numId w:val="20"/>
        </w:numPr>
        <w:autoSpaceDE w:val="0"/>
        <w:autoSpaceDN w:val="0"/>
        <w:adjustRightInd w:val="0"/>
        <w:spacing w:before="120" w:after="120" w:line="240" w:lineRule="auto"/>
        <w:rPr>
          <w:rStyle w:val="A11"/>
          <w:rFonts w:cs="DaxOT-Light"/>
        </w:rPr>
      </w:pPr>
      <w:r w:rsidRPr="008D01EE">
        <w:rPr>
          <w:rFonts w:cs="DaxOT-Light"/>
        </w:rPr>
        <w:t xml:space="preserve">Wyndham Household Survey. (2015). Retrieved from </w:t>
      </w:r>
      <w:hyperlink r:id="rId61" w:history="1">
        <w:r w:rsidRPr="008D01EE">
          <w:rPr>
            <w:rStyle w:val="Hyperlink"/>
            <w:rFonts w:cs="DaxOT-Light"/>
          </w:rPr>
          <w:t>https://www.wyndham.vic.gov.au/about-council/wyndham-community/demographics-population-overview</w:t>
        </w:r>
      </w:hyperlink>
    </w:p>
    <w:p w:rsidR="000F4E28" w:rsidRPr="00A7294B" w:rsidRDefault="000F4E28" w:rsidP="000F4E28">
      <w:pPr>
        <w:autoSpaceDE w:val="0"/>
        <w:autoSpaceDN w:val="0"/>
        <w:adjustRightInd w:val="0"/>
        <w:spacing w:after="0" w:line="240" w:lineRule="auto"/>
        <w:rPr>
          <w:rStyle w:val="A11"/>
          <w:rFonts w:cs="DaxOT-Light"/>
          <w:sz w:val="24"/>
          <w:szCs w:val="24"/>
        </w:rPr>
      </w:pPr>
    </w:p>
    <w:p w:rsidR="000F4E28" w:rsidRDefault="000F4E28" w:rsidP="000F4E28">
      <w:pPr>
        <w:autoSpaceDE w:val="0"/>
        <w:autoSpaceDN w:val="0"/>
        <w:adjustRightInd w:val="0"/>
        <w:spacing w:after="0" w:line="240" w:lineRule="auto"/>
        <w:rPr>
          <w:rFonts w:cs="DaxOT-Light"/>
          <w:sz w:val="24"/>
          <w:szCs w:val="24"/>
        </w:rPr>
      </w:pPr>
    </w:p>
    <w:p w:rsidR="000F4E28" w:rsidRDefault="000F4E28" w:rsidP="000F4E28">
      <w:pPr>
        <w:autoSpaceDE w:val="0"/>
        <w:autoSpaceDN w:val="0"/>
        <w:adjustRightInd w:val="0"/>
        <w:spacing w:after="0" w:line="240" w:lineRule="auto"/>
        <w:rPr>
          <w:rStyle w:val="A15"/>
          <w:sz w:val="24"/>
          <w:szCs w:val="24"/>
        </w:rPr>
      </w:pPr>
    </w:p>
    <w:p w:rsidR="000F4E28" w:rsidRPr="00A7294B" w:rsidRDefault="000F4E28" w:rsidP="000F4E28">
      <w:pPr>
        <w:autoSpaceDE w:val="0"/>
        <w:autoSpaceDN w:val="0"/>
        <w:adjustRightInd w:val="0"/>
        <w:spacing w:after="0" w:line="240" w:lineRule="auto"/>
        <w:rPr>
          <w:rStyle w:val="A15"/>
          <w:rFonts w:cs="DaxOT-Light"/>
          <w:sz w:val="24"/>
          <w:szCs w:val="24"/>
        </w:rPr>
      </w:pPr>
    </w:p>
    <w:p w:rsidR="000F4E28" w:rsidRDefault="000F4E28" w:rsidP="000F4E28">
      <w:pPr>
        <w:autoSpaceDE w:val="0"/>
        <w:autoSpaceDN w:val="0"/>
        <w:adjustRightInd w:val="0"/>
        <w:spacing w:after="0" w:line="240" w:lineRule="auto"/>
        <w:rPr>
          <w:rStyle w:val="A15"/>
          <w:rFonts w:cs="DaxOT-Light"/>
          <w:sz w:val="24"/>
          <w:szCs w:val="24"/>
        </w:rPr>
      </w:pPr>
    </w:p>
    <w:p w:rsidR="000F4E28" w:rsidRDefault="000F4E28" w:rsidP="000F4E28">
      <w:pPr>
        <w:autoSpaceDE w:val="0"/>
        <w:autoSpaceDN w:val="0"/>
        <w:adjustRightInd w:val="0"/>
        <w:spacing w:after="0" w:line="240" w:lineRule="auto"/>
        <w:rPr>
          <w:rStyle w:val="A15"/>
          <w:rFonts w:cs="DaxOT-Light"/>
          <w:sz w:val="24"/>
          <w:szCs w:val="24"/>
        </w:rPr>
      </w:pPr>
    </w:p>
    <w:p w:rsidR="000F4E28" w:rsidRDefault="000F4E28" w:rsidP="000F4E28">
      <w:pPr>
        <w:autoSpaceDE w:val="0"/>
        <w:autoSpaceDN w:val="0"/>
        <w:adjustRightInd w:val="0"/>
        <w:spacing w:after="0" w:line="240" w:lineRule="auto"/>
        <w:rPr>
          <w:rStyle w:val="A15"/>
          <w:rFonts w:cs="DaxOT-Light"/>
          <w:sz w:val="24"/>
          <w:szCs w:val="24"/>
        </w:rPr>
      </w:pPr>
    </w:p>
    <w:p w:rsidR="00961BA5" w:rsidRDefault="00C611B3" w:rsidP="00FD5A76">
      <w:pPr>
        <w:autoSpaceDE w:val="0"/>
        <w:autoSpaceDN w:val="0"/>
        <w:adjustRightInd w:val="0"/>
        <w:spacing w:after="0"/>
      </w:pPr>
    </w:p>
    <w:sectPr w:rsidR="00961BA5" w:rsidSect="009E4461">
      <w:headerReference w:type="even" r:id="rId62"/>
      <w:headerReference w:type="default" r:id="rId63"/>
      <w:footerReference w:type="even" r:id="rId64"/>
      <w:footerReference w:type="default" r:id="rId6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DB" w:rsidRDefault="006800DB" w:rsidP="009E4461">
      <w:pPr>
        <w:spacing w:after="0" w:line="240" w:lineRule="auto"/>
      </w:pPr>
      <w:r>
        <w:separator/>
      </w:r>
    </w:p>
  </w:endnote>
  <w:endnote w:type="continuationSeparator" w:id="0">
    <w:p w:rsidR="006800DB" w:rsidRDefault="006800DB"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Regular">
    <w:panose1 w:val="00000000000000000000"/>
    <w:charset w:val="00"/>
    <w:family w:val="modern"/>
    <w:notTrueType/>
    <w:pitch w:val="variable"/>
    <w:sig w:usb0="800000AF" w:usb1="4000247B" w:usb2="00000000" w:usb3="00000000" w:csb0="00000001" w:csb1="00000000"/>
  </w:font>
  <w:font w:name="Tahoma">
    <w:panose1 w:val="020B0604030504040204"/>
    <w:charset w:val="00"/>
    <w:family w:val="swiss"/>
    <w:pitch w:val="variable"/>
    <w:sig w:usb0="E1002EFF" w:usb1="C000605B" w:usb2="00000029" w:usb3="00000000" w:csb0="000101FF" w:csb1="00000000"/>
  </w:font>
  <w:font w:name="DaxOT">
    <w:altName w:val="DaxOT"/>
    <w:panose1 w:val="00000000000000000000"/>
    <w:charset w:val="00"/>
    <w:family w:val="swiss"/>
    <w:notTrueType/>
    <w:pitch w:val="default"/>
    <w:sig w:usb0="00000003" w:usb1="00000000" w:usb2="00000000" w:usb3="00000000" w:csb0="00000001" w:csb1="00000000"/>
  </w:font>
  <w:font w:name="DaxOT-Light">
    <w:altName w:val="DaxOT-Light"/>
    <w:panose1 w:val="0201050405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altName w:val="DaxOT-Medium"/>
    <w:panose1 w:val="00000000000000000000"/>
    <w:charset w:val="00"/>
    <w:family w:val="modern"/>
    <w:notTrueType/>
    <w:pitch w:val="variable"/>
    <w:sig w:usb0="800000AF" w:usb1="4000247B" w:usb2="00000000" w:usb3="00000000" w:csb0="00000001" w:csb1="00000000"/>
  </w:font>
  <w:font w:name="DaxOT-Bold">
    <w:altName w:val="DaxOT-Bold"/>
    <w:panose1 w:val="00000000000000000000"/>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96303"/>
      <w:docPartObj>
        <w:docPartGallery w:val="Page Numbers (Bottom of Page)"/>
        <w:docPartUnique/>
      </w:docPartObj>
    </w:sdtPr>
    <w:sdtEndPr>
      <w:rPr>
        <w:noProof/>
      </w:rPr>
    </w:sdtEndPr>
    <w:sdtContent>
      <w:p w:rsidR="000A4796" w:rsidRDefault="000A4796">
        <w:pPr>
          <w:pStyle w:val="Footer"/>
          <w:jc w:val="right"/>
        </w:pPr>
        <w:r>
          <w:fldChar w:fldCharType="begin"/>
        </w:r>
        <w:r>
          <w:instrText xml:space="preserve"> PAGE   \* MERGEFORMAT </w:instrText>
        </w:r>
        <w:r>
          <w:fldChar w:fldCharType="separate"/>
        </w:r>
        <w:r w:rsidR="00C611B3">
          <w:rPr>
            <w:noProof/>
          </w:rPr>
          <w:t>10</w:t>
        </w:r>
        <w:r>
          <w:rPr>
            <w:noProof/>
          </w:rPr>
          <w:fldChar w:fldCharType="end"/>
        </w:r>
      </w:p>
    </w:sdtContent>
  </w:sdt>
  <w:p w:rsidR="009E4461" w:rsidRPr="002D26EB" w:rsidRDefault="009E4461" w:rsidP="002D26EB">
    <w:pPr>
      <w:pStyle w:val="Footer"/>
      <w:pBdr>
        <w:top w:val="single" w:sz="12" w:space="1" w:color="002060"/>
      </w:pBdr>
      <w:jc w:val="right"/>
      <w:rPr>
        <w:rFonts w:ascii="DaxOT-Light" w:hAnsi="DaxOT-Light"/>
        <w:color w:val="002060"/>
        <w:sz w:val="20"/>
      </w:rPr>
    </w:pPr>
  </w:p>
  <w:p w:rsidR="005B68EF" w:rsidRDefault="005B68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41609"/>
      <w:docPartObj>
        <w:docPartGallery w:val="Page Numbers (Bottom of Page)"/>
        <w:docPartUnique/>
      </w:docPartObj>
    </w:sdtPr>
    <w:sdtEndPr>
      <w:rPr>
        <w:noProof/>
      </w:rPr>
    </w:sdtEndPr>
    <w:sdtContent>
      <w:p w:rsidR="00EF4E93" w:rsidRDefault="00EF4E93">
        <w:pPr>
          <w:pStyle w:val="Footer"/>
          <w:jc w:val="right"/>
        </w:pPr>
        <w:r>
          <w:fldChar w:fldCharType="begin"/>
        </w:r>
        <w:r>
          <w:instrText xml:space="preserve"> PAGE   \* MERGEFORMAT </w:instrText>
        </w:r>
        <w:r>
          <w:fldChar w:fldCharType="separate"/>
        </w:r>
        <w:r w:rsidR="00C611B3">
          <w:rPr>
            <w:noProof/>
          </w:rPr>
          <w:t>11</w:t>
        </w:r>
        <w:r>
          <w:rPr>
            <w:noProof/>
          </w:rPr>
          <w:fldChar w:fldCharType="end"/>
        </w:r>
      </w:p>
    </w:sdtContent>
  </w:sdt>
  <w:p w:rsidR="009E4461" w:rsidRPr="002D26EB" w:rsidRDefault="009E4461" w:rsidP="002D26EB">
    <w:pPr>
      <w:pStyle w:val="Footer"/>
      <w:pBdr>
        <w:top w:val="single" w:sz="12" w:space="1" w:color="002060"/>
      </w:pBdr>
      <w:tabs>
        <w:tab w:val="clear" w:pos="4513"/>
        <w:tab w:val="clear" w:pos="9026"/>
        <w:tab w:val="left" w:pos="2210"/>
      </w:tabs>
      <w:rPr>
        <w:rFonts w:ascii="DaxOT-Light" w:hAnsi="DaxOT-Light"/>
        <w:color w:val="002060"/>
        <w:sz w:val="20"/>
      </w:rPr>
    </w:pPr>
  </w:p>
  <w:p w:rsidR="005B68EF" w:rsidRDefault="005B6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DB" w:rsidRDefault="006800DB" w:rsidP="009E4461">
      <w:pPr>
        <w:spacing w:after="0" w:line="240" w:lineRule="auto"/>
      </w:pPr>
      <w:r>
        <w:separator/>
      </w:r>
    </w:p>
  </w:footnote>
  <w:footnote w:type="continuationSeparator" w:id="0">
    <w:p w:rsidR="006800DB" w:rsidRDefault="006800DB" w:rsidP="009E4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Default="002D26EB">
    <w:pPr>
      <w:pStyle w:val="Header"/>
    </w:pPr>
    <w:r>
      <w:rPr>
        <w:noProof/>
        <w:lang w:eastAsia="en-AU"/>
      </w:rPr>
      <w:drawing>
        <wp:anchor distT="0" distB="0" distL="114300" distR="114300" simplePos="0" relativeHeight="251661312" behindDoc="1" locked="0" layoutInCell="1" allowOverlap="1" wp14:anchorId="73A42AD9" wp14:editId="7C0CB6D9">
          <wp:simplePos x="0" y="0"/>
          <wp:positionH relativeFrom="column">
            <wp:posOffset>184677</wp:posOffset>
          </wp:positionH>
          <wp:positionV relativeFrom="paragraph">
            <wp:posOffset>-1096010</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p w:rsidR="005B68EF" w:rsidRDefault="005B68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3" w:rsidRDefault="006A1043">
    <w:pPr>
      <w:pStyle w:val="Header"/>
    </w:pPr>
    <w:r>
      <w:rPr>
        <w:noProof/>
        <w:lang w:eastAsia="en-AU"/>
      </w:rPr>
      <w:drawing>
        <wp:anchor distT="0" distB="0" distL="114300" distR="114300" simplePos="0" relativeHeight="251663360" behindDoc="1" locked="0" layoutInCell="1" allowOverlap="1" wp14:anchorId="50CEBFDF" wp14:editId="26A3A00F">
          <wp:simplePos x="0" y="0"/>
          <wp:positionH relativeFrom="column">
            <wp:posOffset>336550</wp:posOffset>
          </wp:positionH>
          <wp:positionV relativeFrom="paragraph">
            <wp:posOffset>-943610</wp:posOffset>
          </wp:positionV>
          <wp:extent cx="6475730" cy="19862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404"/>
    <w:multiLevelType w:val="hybridMultilevel"/>
    <w:tmpl w:val="ADD6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A075F7"/>
    <w:multiLevelType w:val="hybridMultilevel"/>
    <w:tmpl w:val="88D0262A"/>
    <w:lvl w:ilvl="0" w:tplc="99502B1A">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8A3745"/>
    <w:multiLevelType w:val="hybridMultilevel"/>
    <w:tmpl w:val="2C4C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1D5016"/>
    <w:multiLevelType w:val="hybridMultilevel"/>
    <w:tmpl w:val="40F8E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C55FAE"/>
    <w:multiLevelType w:val="hybridMultilevel"/>
    <w:tmpl w:val="AAC4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AC7609"/>
    <w:multiLevelType w:val="hybridMultilevel"/>
    <w:tmpl w:val="F446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5A63B4"/>
    <w:multiLevelType w:val="hybridMultilevel"/>
    <w:tmpl w:val="6966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B80AA6"/>
    <w:multiLevelType w:val="hybridMultilevel"/>
    <w:tmpl w:val="670A5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7549B7"/>
    <w:multiLevelType w:val="hybridMultilevel"/>
    <w:tmpl w:val="8BC0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A27C6B"/>
    <w:multiLevelType w:val="hybridMultilevel"/>
    <w:tmpl w:val="F102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F42B9B"/>
    <w:multiLevelType w:val="hybridMultilevel"/>
    <w:tmpl w:val="1ABE7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F600D4"/>
    <w:multiLevelType w:val="hybridMultilevel"/>
    <w:tmpl w:val="029EC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5D32F5"/>
    <w:multiLevelType w:val="hybridMultilevel"/>
    <w:tmpl w:val="2EA6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456F97"/>
    <w:multiLevelType w:val="hybridMultilevel"/>
    <w:tmpl w:val="827A1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2EC4FA1"/>
    <w:multiLevelType w:val="hybridMultilevel"/>
    <w:tmpl w:val="16BC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B666D6"/>
    <w:multiLevelType w:val="hybridMultilevel"/>
    <w:tmpl w:val="FF92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3C047B"/>
    <w:multiLevelType w:val="hybridMultilevel"/>
    <w:tmpl w:val="19CE51B6"/>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17">
    <w:nsid w:val="6EC25011"/>
    <w:multiLevelType w:val="hybridMultilevel"/>
    <w:tmpl w:val="B89CB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715EAA"/>
    <w:multiLevelType w:val="hybridMultilevel"/>
    <w:tmpl w:val="F02C7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4"/>
  </w:num>
  <w:num w:numId="5">
    <w:abstractNumId w:val="8"/>
  </w:num>
  <w:num w:numId="6">
    <w:abstractNumId w:val="3"/>
  </w:num>
  <w:num w:numId="7">
    <w:abstractNumId w:val="6"/>
  </w:num>
  <w:num w:numId="8">
    <w:abstractNumId w:val="12"/>
  </w:num>
  <w:num w:numId="9">
    <w:abstractNumId w:val="7"/>
  </w:num>
  <w:num w:numId="10">
    <w:abstractNumId w:val="0"/>
  </w:num>
  <w:num w:numId="11">
    <w:abstractNumId w:val="1"/>
  </w:num>
  <w:num w:numId="12">
    <w:abstractNumId w:val="0"/>
  </w:num>
  <w:num w:numId="13">
    <w:abstractNumId w:val="2"/>
  </w:num>
  <w:num w:numId="14">
    <w:abstractNumId w:val="9"/>
  </w:num>
  <w:num w:numId="15">
    <w:abstractNumId w:val="16"/>
  </w:num>
  <w:num w:numId="16">
    <w:abstractNumId w:val="17"/>
  </w:num>
  <w:num w:numId="17">
    <w:abstractNumId w:val="5"/>
  </w:num>
  <w:num w:numId="18">
    <w:abstractNumId w:val="1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C1"/>
    <w:rsid w:val="00082032"/>
    <w:rsid w:val="000A4796"/>
    <w:rsid w:val="000F4CB4"/>
    <w:rsid w:val="000F4E28"/>
    <w:rsid w:val="000F50CA"/>
    <w:rsid w:val="00121AE1"/>
    <w:rsid w:val="001539A8"/>
    <w:rsid w:val="0016325F"/>
    <w:rsid w:val="00183CE9"/>
    <w:rsid w:val="001954DD"/>
    <w:rsid w:val="001A2585"/>
    <w:rsid w:val="001A2F5D"/>
    <w:rsid w:val="001D3686"/>
    <w:rsid w:val="00215B85"/>
    <w:rsid w:val="002525B6"/>
    <w:rsid w:val="00255E17"/>
    <w:rsid w:val="00265140"/>
    <w:rsid w:val="002D26EB"/>
    <w:rsid w:val="0032037A"/>
    <w:rsid w:val="00430610"/>
    <w:rsid w:val="004308C1"/>
    <w:rsid w:val="00441B01"/>
    <w:rsid w:val="00471BCD"/>
    <w:rsid w:val="00472089"/>
    <w:rsid w:val="004A4499"/>
    <w:rsid w:val="004C4A93"/>
    <w:rsid w:val="004F06C9"/>
    <w:rsid w:val="0052780F"/>
    <w:rsid w:val="00533CB4"/>
    <w:rsid w:val="00541200"/>
    <w:rsid w:val="00544393"/>
    <w:rsid w:val="00555A2A"/>
    <w:rsid w:val="005771EB"/>
    <w:rsid w:val="005B68EF"/>
    <w:rsid w:val="005D191F"/>
    <w:rsid w:val="005E4E24"/>
    <w:rsid w:val="005F564E"/>
    <w:rsid w:val="006135B4"/>
    <w:rsid w:val="00623B55"/>
    <w:rsid w:val="00631E2C"/>
    <w:rsid w:val="00635512"/>
    <w:rsid w:val="006800DB"/>
    <w:rsid w:val="006A1043"/>
    <w:rsid w:val="006B1985"/>
    <w:rsid w:val="006E37F0"/>
    <w:rsid w:val="00771A04"/>
    <w:rsid w:val="007D786A"/>
    <w:rsid w:val="00811575"/>
    <w:rsid w:val="0082281A"/>
    <w:rsid w:val="00882A9F"/>
    <w:rsid w:val="008B4E78"/>
    <w:rsid w:val="008D01EE"/>
    <w:rsid w:val="008E41FB"/>
    <w:rsid w:val="008F4C7C"/>
    <w:rsid w:val="00906D83"/>
    <w:rsid w:val="009072D6"/>
    <w:rsid w:val="009330AF"/>
    <w:rsid w:val="009D1944"/>
    <w:rsid w:val="009D3042"/>
    <w:rsid w:val="009E0823"/>
    <w:rsid w:val="009E37AE"/>
    <w:rsid w:val="009E4461"/>
    <w:rsid w:val="00A04FB5"/>
    <w:rsid w:val="00A31C8C"/>
    <w:rsid w:val="00A655EA"/>
    <w:rsid w:val="00A65FB7"/>
    <w:rsid w:val="00AA6CCB"/>
    <w:rsid w:val="00AC09FC"/>
    <w:rsid w:val="00AD3B3B"/>
    <w:rsid w:val="00B150CC"/>
    <w:rsid w:val="00B30674"/>
    <w:rsid w:val="00B84336"/>
    <w:rsid w:val="00B95B61"/>
    <w:rsid w:val="00BA24E2"/>
    <w:rsid w:val="00C03747"/>
    <w:rsid w:val="00C22E6A"/>
    <w:rsid w:val="00C30D74"/>
    <w:rsid w:val="00C35B0D"/>
    <w:rsid w:val="00C411AE"/>
    <w:rsid w:val="00C4675F"/>
    <w:rsid w:val="00C52E94"/>
    <w:rsid w:val="00C611B3"/>
    <w:rsid w:val="00D36AEE"/>
    <w:rsid w:val="00D650A3"/>
    <w:rsid w:val="00DA2F7F"/>
    <w:rsid w:val="00E2228B"/>
    <w:rsid w:val="00E51916"/>
    <w:rsid w:val="00E51AED"/>
    <w:rsid w:val="00E74F30"/>
    <w:rsid w:val="00EF4E93"/>
    <w:rsid w:val="00F25776"/>
    <w:rsid w:val="00F7468B"/>
    <w:rsid w:val="00F90223"/>
    <w:rsid w:val="00F9704F"/>
    <w:rsid w:val="00FA75BF"/>
    <w:rsid w:val="00FD5A76"/>
    <w:rsid w:val="00FE7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575"/>
    <w:pPr>
      <w:outlineLvl w:val="0"/>
    </w:pPr>
    <w:rPr>
      <w:rFonts w:ascii="DaxOT-Regular" w:hAnsi="DaxOT-Regular"/>
      <w:color w:val="002060"/>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811575"/>
    <w:rPr>
      <w:rFonts w:ascii="DaxOT-Regular" w:hAnsi="DaxOT-Regular"/>
      <w:color w:val="002060"/>
      <w:sz w:val="32"/>
      <w:szCs w:val="44"/>
    </w:rPr>
  </w:style>
  <w:style w:type="paragraph" w:customStyle="1" w:styleId="Default">
    <w:name w:val="Default"/>
    <w:basedOn w:val="Normal"/>
    <w:rsid w:val="004308C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4308C1"/>
    <w:pPr>
      <w:ind w:left="720"/>
      <w:contextualSpacing/>
    </w:pPr>
  </w:style>
  <w:style w:type="character" w:customStyle="1" w:styleId="A3">
    <w:name w:val="A3"/>
    <w:uiPriority w:val="99"/>
    <w:rsid w:val="004308C1"/>
    <w:rPr>
      <w:rFonts w:cs="DaxOT"/>
      <w:color w:val="000000"/>
      <w:sz w:val="22"/>
      <w:szCs w:val="22"/>
    </w:rPr>
  </w:style>
  <w:style w:type="character" w:styleId="Hyperlink">
    <w:name w:val="Hyperlink"/>
    <w:basedOn w:val="DefaultParagraphFont"/>
    <w:uiPriority w:val="99"/>
    <w:unhideWhenUsed/>
    <w:rsid w:val="004308C1"/>
    <w:rPr>
      <w:color w:val="0000FF" w:themeColor="hyperlink"/>
      <w:u w:val="single"/>
    </w:rPr>
  </w:style>
  <w:style w:type="character" w:styleId="FollowedHyperlink">
    <w:name w:val="FollowedHyperlink"/>
    <w:basedOn w:val="DefaultParagraphFont"/>
    <w:uiPriority w:val="99"/>
    <w:semiHidden/>
    <w:unhideWhenUsed/>
    <w:rsid w:val="00A65FB7"/>
    <w:rPr>
      <w:color w:val="800080" w:themeColor="followedHyperlink"/>
      <w:u w:val="single"/>
    </w:rPr>
  </w:style>
  <w:style w:type="character" w:customStyle="1" w:styleId="A5">
    <w:name w:val="A5"/>
    <w:uiPriority w:val="99"/>
    <w:rsid w:val="00183CE9"/>
    <w:rPr>
      <w:rFonts w:cs="DaxOT-Light"/>
      <w:color w:val="000000"/>
      <w:sz w:val="25"/>
      <w:szCs w:val="25"/>
    </w:rPr>
  </w:style>
  <w:style w:type="character" w:customStyle="1" w:styleId="A0">
    <w:name w:val="A0"/>
    <w:uiPriority w:val="99"/>
    <w:rsid w:val="00623B55"/>
    <w:rPr>
      <w:rFonts w:cs="DaxOT"/>
      <w:color w:val="000000"/>
      <w:sz w:val="28"/>
      <w:szCs w:val="28"/>
    </w:rPr>
  </w:style>
  <w:style w:type="character" w:customStyle="1" w:styleId="A4">
    <w:name w:val="A4"/>
    <w:uiPriority w:val="99"/>
    <w:rsid w:val="009E0823"/>
    <w:rPr>
      <w:rFonts w:cs="DaxOT"/>
      <w:color w:val="000000"/>
      <w:sz w:val="22"/>
      <w:szCs w:val="22"/>
    </w:rPr>
  </w:style>
  <w:style w:type="character" w:customStyle="1" w:styleId="A8">
    <w:name w:val="A8"/>
    <w:uiPriority w:val="99"/>
    <w:rsid w:val="000F4E28"/>
    <w:rPr>
      <w:rFonts w:cs="DaxOT"/>
      <w:color w:val="000000"/>
      <w:sz w:val="12"/>
      <w:szCs w:val="12"/>
    </w:rPr>
  </w:style>
  <w:style w:type="character" w:customStyle="1" w:styleId="A12">
    <w:name w:val="A12"/>
    <w:uiPriority w:val="99"/>
    <w:rsid w:val="000F4E28"/>
    <w:rPr>
      <w:rFonts w:cs="DaxOT"/>
      <w:color w:val="000000"/>
      <w:sz w:val="8"/>
      <w:szCs w:val="8"/>
    </w:rPr>
  </w:style>
  <w:style w:type="character" w:customStyle="1" w:styleId="A17">
    <w:name w:val="A17"/>
    <w:uiPriority w:val="99"/>
    <w:rsid w:val="000F4E28"/>
    <w:rPr>
      <w:rFonts w:cs="DaxOT"/>
      <w:color w:val="000000"/>
      <w:sz w:val="7"/>
      <w:szCs w:val="7"/>
    </w:rPr>
  </w:style>
  <w:style w:type="character" w:customStyle="1" w:styleId="A11">
    <w:name w:val="A11"/>
    <w:uiPriority w:val="99"/>
    <w:rsid w:val="000F4E28"/>
    <w:rPr>
      <w:rFonts w:cs="DaxOT"/>
      <w:color w:val="000000"/>
    </w:rPr>
  </w:style>
  <w:style w:type="character" w:customStyle="1" w:styleId="A15">
    <w:name w:val="A15"/>
    <w:uiPriority w:val="99"/>
    <w:rsid w:val="000F4E28"/>
    <w:rPr>
      <w:rFonts w:cs="DaxOT"/>
      <w:color w:val="000000"/>
      <w:sz w:val="7"/>
      <w:szCs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575"/>
    <w:pPr>
      <w:outlineLvl w:val="0"/>
    </w:pPr>
    <w:rPr>
      <w:rFonts w:ascii="DaxOT-Regular" w:hAnsi="DaxOT-Regular"/>
      <w:color w:val="002060"/>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811575"/>
    <w:rPr>
      <w:rFonts w:ascii="DaxOT-Regular" w:hAnsi="DaxOT-Regular"/>
      <w:color w:val="002060"/>
      <w:sz w:val="32"/>
      <w:szCs w:val="44"/>
    </w:rPr>
  </w:style>
  <w:style w:type="paragraph" w:customStyle="1" w:styleId="Default">
    <w:name w:val="Default"/>
    <w:basedOn w:val="Normal"/>
    <w:rsid w:val="004308C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4308C1"/>
    <w:pPr>
      <w:ind w:left="720"/>
      <w:contextualSpacing/>
    </w:pPr>
  </w:style>
  <w:style w:type="character" w:customStyle="1" w:styleId="A3">
    <w:name w:val="A3"/>
    <w:uiPriority w:val="99"/>
    <w:rsid w:val="004308C1"/>
    <w:rPr>
      <w:rFonts w:cs="DaxOT"/>
      <w:color w:val="000000"/>
      <w:sz w:val="22"/>
      <w:szCs w:val="22"/>
    </w:rPr>
  </w:style>
  <w:style w:type="character" w:styleId="Hyperlink">
    <w:name w:val="Hyperlink"/>
    <w:basedOn w:val="DefaultParagraphFont"/>
    <w:uiPriority w:val="99"/>
    <w:unhideWhenUsed/>
    <w:rsid w:val="004308C1"/>
    <w:rPr>
      <w:color w:val="0000FF" w:themeColor="hyperlink"/>
      <w:u w:val="single"/>
    </w:rPr>
  </w:style>
  <w:style w:type="character" w:styleId="FollowedHyperlink">
    <w:name w:val="FollowedHyperlink"/>
    <w:basedOn w:val="DefaultParagraphFont"/>
    <w:uiPriority w:val="99"/>
    <w:semiHidden/>
    <w:unhideWhenUsed/>
    <w:rsid w:val="00A65FB7"/>
    <w:rPr>
      <w:color w:val="800080" w:themeColor="followedHyperlink"/>
      <w:u w:val="single"/>
    </w:rPr>
  </w:style>
  <w:style w:type="character" w:customStyle="1" w:styleId="A5">
    <w:name w:val="A5"/>
    <w:uiPriority w:val="99"/>
    <w:rsid w:val="00183CE9"/>
    <w:rPr>
      <w:rFonts w:cs="DaxOT-Light"/>
      <w:color w:val="000000"/>
      <w:sz w:val="25"/>
      <w:szCs w:val="25"/>
    </w:rPr>
  </w:style>
  <w:style w:type="character" w:customStyle="1" w:styleId="A0">
    <w:name w:val="A0"/>
    <w:uiPriority w:val="99"/>
    <w:rsid w:val="00623B55"/>
    <w:rPr>
      <w:rFonts w:cs="DaxOT"/>
      <w:color w:val="000000"/>
      <w:sz w:val="28"/>
      <w:szCs w:val="28"/>
    </w:rPr>
  </w:style>
  <w:style w:type="character" w:customStyle="1" w:styleId="A4">
    <w:name w:val="A4"/>
    <w:uiPriority w:val="99"/>
    <w:rsid w:val="009E0823"/>
    <w:rPr>
      <w:rFonts w:cs="DaxOT"/>
      <w:color w:val="000000"/>
      <w:sz w:val="22"/>
      <w:szCs w:val="22"/>
    </w:rPr>
  </w:style>
  <w:style w:type="character" w:customStyle="1" w:styleId="A8">
    <w:name w:val="A8"/>
    <w:uiPriority w:val="99"/>
    <w:rsid w:val="000F4E28"/>
    <w:rPr>
      <w:rFonts w:cs="DaxOT"/>
      <w:color w:val="000000"/>
      <w:sz w:val="12"/>
      <w:szCs w:val="12"/>
    </w:rPr>
  </w:style>
  <w:style w:type="character" w:customStyle="1" w:styleId="A12">
    <w:name w:val="A12"/>
    <w:uiPriority w:val="99"/>
    <w:rsid w:val="000F4E28"/>
    <w:rPr>
      <w:rFonts w:cs="DaxOT"/>
      <w:color w:val="000000"/>
      <w:sz w:val="8"/>
      <w:szCs w:val="8"/>
    </w:rPr>
  </w:style>
  <w:style w:type="character" w:customStyle="1" w:styleId="A17">
    <w:name w:val="A17"/>
    <w:uiPriority w:val="99"/>
    <w:rsid w:val="000F4E28"/>
    <w:rPr>
      <w:rFonts w:cs="DaxOT"/>
      <w:color w:val="000000"/>
      <w:sz w:val="7"/>
      <w:szCs w:val="7"/>
    </w:rPr>
  </w:style>
  <w:style w:type="character" w:customStyle="1" w:styleId="A11">
    <w:name w:val="A11"/>
    <w:uiPriority w:val="99"/>
    <w:rsid w:val="000F4E28"/>
    <w:rPr>
      <w:rFonts w:cs="DaxOT"/>
      <w:color w:val="000000"/>
    </w:rPr>
  </w:style>
  <w:style w:type="character" w:customStyle="1" w:styleId="A15">
    <w:name w:val="A15"/>
    <w:uiPriority w:val="99"/>
    <w:rsid w:val="000F4E28"/>
    <w:rPr>
      <w:rFonts w:cs="DaxOT"/>
      <w:color w:val="000000"/>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las.id.com.au/wyndham" TargetMode="External"/><Relationship Id="rId18" Type="http://schemas.openxmlformats.org/officeDocument/2006/relationships/hyperlink" Target="http://www.aedc.gov.au/data/data-explorer?id=62199" TargetMode="External"/><Relationship Id="rId26" Type="http://schemas.openxmlformats.org/officeDocument/2006/relationships/hyperlink" Target="http://www.education.vic.gov.au/%20childhood/parents/mch/Pages/families.aspx%20" TargetMode="External"/><Relationship Id="rId39" Type="http://schemas.openxmlformats.org/officeDocument/2006/relationships/hyperlink" Target="http://www.education.vic.gov.au/about/research/Pages/vcamstableau.aspx" TargetMode="External"/><Relationship Id="rId21" Type="http://schemas.openxmlformats.org/officeDocument/2006/relationships/hyperlink" Target="https://www.ato.gov.au/Business/Personal-services-income/%20" TargetMode="External"/><Relationship Id="rId34" Type="http://schemas.openxmlformats.org/officeDocument/2006/relationships/hyperlink" Target="https://www2.health.vic.gov.au/public-health/population-health-systems/health-status-of-victorians/survey-data-and-reports/victorian-population-health-survey" TargetMode="External"/><Relationship Id="rId42" Type="http://schemas.openxmlformats.org/officeDocument/2006/relationships/hyperlink" Target="http://www.communityindicators.net.au/" TargetMode="External"/><Relationship Id="rId47" Type="http://schemas.openxmlformats.org/officeDocument/2006/relationships/hyperlink" Target="https://www.data.vic.gov.au/data/dataset?q=NAPLAN" TargetMode="External"/><Relationship Id="rId50" Type="http://schemas.openxmlformats.org/officeDocument/2006/relationships/hyperlink" Target="http://www.communityindicators.net.au/" TargetMode="External"/><Relationship Id="rId55" Type="http://schemas.openxmlformats.org/officeDocument/2006/relationships/hyperlink" Target="http://data-planvic.opendata.arcgis.com/datasets/%20"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tlas.id.com.au/wyndham%23MapNo=10013&amp;SexKey=3&amp;datatype=2&amp;themtype=2&amp;topicAlias=socio-economic-disadvantage&amp;year=2011%20" TargetMode="External"/><Relationship Id="rId29" Type="http://schemas.openxmlformats.org/officeDocument/2006/relationships/hyperlink" Target="http://www.education.vic.gov.au/about/research/Pages/vcamstableau.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indicators.net.au/" TargetMode="External"/><Relationship Id="rId24" Type="http://schemas.openxmlformats.org/officeDocument/2006/relationships/hyperlink" Target="https://www.crimestatistics.vic.gov.au/crime-statistics/latest-crime-data/recorded-offences-2%20" TargetMode="External"/><Relationship Id="rId32" Type="http://schemas.openxmlformats.org/officeDocument/2006/relationships/hyperlink" Target="https://www2.health.vic.gov.au/public-health/%20population-health-systems/health-status-of-victorians/survey-data-and-reports/victorian-happiness-report" TargetMode="External"/><Relationship Id="rId37" Type="http://schemas.openxmlformats.org/officeDocument/2006/relationships/hyperlink" Target="https://www2.health.vic.gov.au/public-health/population-health-systems/health-status-of-victorians/survey-data-and-reports/victorian-population-health-survey" TargetMode="External"/><Relationship Id="rId40" Type="http://schemas.openxmlformats.org/officeDocument/2006/relationships/hyperlink" Target="http://www.education.vic.gov.au/about/research/Pages/%20vcamstableau.aspx" TargetMode="External"/><Relationship Id="rId45" Type="http://schemas.openxmlformats.org/officeDocument/2006/relationships/hyperlink" Target="https://www.heartfoundation.org.au/active-living/sit-less%20" TargetMode="External"/><Relationship Id="rId53" Type="http://schemas.openxmlformats.org/officeDocument/2006/relationships/hyperlink" Target="https://www.vicroads.vic.gov.au/safety-and-road-rules/safety-statistics/crash-statistics" TargetMode="External"/><Relationship Id="rId58" Type="http://schemas.openxmlformats.org/officeDocument/2006/relationships/hyperlink" Target="https://www.beyondblue.org.au/the-facts/what-is-mental-health%20"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sgreen\objcache\sgreen\Objects\www.censusdata.abs.gov.au\census_services\getproduct\census\2011\communityprofile\21305%3fopendocument&amp;navpos=220" TargetMode="External"/><Relationship Id="rId23" Type="http://schemas.openxmlformats.org/officeDocument/2006/relationships/hyperlink" Target="https://www.crimestatistics.vic.gov.au/explore-crime-by-location" TargetMode="External"/><Relationship Id="rId28" Type="http://schemas.openxmlformats.org/officeDocument/2006/relationships/hyperlink" Target="http://www.education.vic.gov.au/about/research/Pages/vcamstableau.aspx" TargetMode="External"/><Relationship Id="rId36" Type="http://schemas.openxmlformats.org/officeDocument/2006/relationships/hyperlink" Target="https://www2.health.vic.gov.au/public-health/population-health-systems/health-status-of-victorians/survey-data-and-reports/victorian-population-health-survey" TargetMode="External"/><Relationship Id="rId49" Type="http://schemas.openxmlformats.org/officeDocument/2006/relationships/hyperlink" Target="https://www.vichealth.vic.gov.au/%20" TargetMode="External"/><Relationship Id="rId57" Type="http://schemas.openxmlformats.org/officeDocument/2006/relationships/hyperlink" Target="http://www.who.int/mediacentre/factsheets/fs403/en/%20" TargetMode="External"/><Relationship Id="rId61" Type="http://schemas.openxmlformats.org/officeDocument/2006/relationships/hyperlink" Target="https://www.wyndham.vic.gov.au/about-council/wyndham-community/demographics-population-overview%20" TargetMode="External"/><Relationship Id="rId10" Type="http://schemas.openxmlformats.org/officeDocument/2006/relationships/hyperlink" Target="https://www.wyndham.vic.gov.au/about-council/wyndham-community/community-profiles" TargetMode="External"/><Relationship Id="rId19" Type="http://schemas.openxmlformats.org/officeDocument/2006/relationships/hyperlink" Target="http://www.aihw.gov.au/burden-of-disease/" TargetMode="External"/><Relationship Id="rId31" Type="http://schemas.openxmlformats.org/officeDocument/2006/relationships/hyperlink" Target="https://www.employment.gov.au/small-area-labour-markets-publication" TargetMode="External"/><Relationship Id="rId44" Type="http://schemas.openxmlformats.org/officeDocument/2006/relationships/hyperlink" Target="http://forecast.id.com.au/wyndham%20" TargetMode="External"/><Relationship Id="rId52" Type="http://schemas.openxmlformats.org/officeDocument/2006/relationships/hyperlink" Target="https://www.vichealth.vic.gov.au/media-and-resources/publications/%20violence-against-women-in-australia-research-summary" TargetMode="External"/><Relationship Id="rId60" Type="http://schemas.openxmlformats.org/officeDocument/2006/relationships/hyperlink" Target="https://www.wyndham.vic.gov.au/about-council/wyndham-community/demographics-population-overview"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ofile.id.com.au/wyndham" TargetMode="External"/><Relationship Id="rId22" Type="http://schemas.openxmlformats.org/officeDocument/2006/relationships/hyperlink" Target="http://www.benevolent.org.au/think/index--of--wellbeing--for--older--australians" TargetMode="External"/><Relationship Id="rId27" Type="http://schemas.openxmlformats.org/officeDocument/2006/relationships/hyperlink" Target="http://www.education.vic.gov.au/about/research/Pages/vcamstableau.aspx" TargetMode="External"/><Relationship Id="rId30" Type="http://schemas.openxmlformats.org/officeDocument/2006/relationships/hyperlink" Target="http://www.education.vic.gov.au/about/research/Pages/vcamstableau.aspx" TargetMode="External"/><Relationship Id="rId35" Type="http://schemas.openxmlformats.org/officeDocument/2006/relationships/hyperlink" Target="https://www2.health.vic.gov.au/public-health/population-health-systems/health-status-of-victorians/survey-data-and-reports/victorian-population-health-survey%20" TargetMode="External"/><Relationship Id="rId43" Type="http://schemas.openxmlformats.org/officeDocument/2006/relationships/hyperlink" Target="https://aurin.org.au/projects/lens-sub-projects/vulnerability-analysis-of-mortgage-petroleum-and-inflation-risks-and-expenditure-vampire-index/" TargetMode="External"/><Relationship Id="rId48" Type="http://schemas.openxmlformats.org/officeDocument/2006/relationships/hyperlink" Target="https://www.vichealth.vic.gov.au/our-work/preventing-violence-against-women%20" TargetMode="External"/><Relationship Id="rId56" Type="http://schemas.openxmlformats.org/officeDocument/2006/relationships/hyperlink" Target="https://www.responsiblegambling.vic.gov.au/%20information-and-resources/your-local-government-area%2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vichealth.vic.gov.au/%20" TargetMode="External"/><Relationship Id="rId3" Type="http://schemas.openxmlformats.org/officeDocument/2006/relationships/styles" Target="styles.xml"/><Relationship Id="rId12" Type="http://schemas.openxmlformats.org/officeDocument/2006/relationships/hyperlink" Target="http://www.abs.gov.au/websitedbs/censushome.nsf/home/tablebuilder" TargetMode="External"/><Relationship Id="rId17" Type="http://schemas.openxmlformats.org/officeDocument/2006/relationships/hyperlink" Target="http://www.abs.gov.au/ausstats/abs@.nsf/mf/6202.0" TargetMode="External"/><Relationship Id="rId25" Type="http://schemas.openxmlformats.org/officeDocument/2006/relationships/hyperlink" Target="https://www.crimestatistics.vic.gov.au/crime-statistics/latest-crime-data/family-incidents-2%20" TargetMode="External"/><Relationship Id="rId33" Type="http://schemas.openxmlformats.org/officeDocument/2006/relationships/hyperlink" Target="https://www2.health.vic.gov.au/public-health/population-health-systems/health-status-of-victorians/survey-data-and-reports/victorian-population-health-survey" TargetMode="External"/><Relationship Id="rId38" Type="http://schemas.openxmlformats.org/officeDocument/2006/relationships/hyperlink" Target="http://www.education.vic.gov.au/about/research/Pages/vcamstableau.aspx" TargetMode="External"/><Relationship Id="rId46" Type="http://schemas.openxmlformats.org/officeDocument/2006/relationships/hyperlink" Target="http://www.communityindicators.net.au/subjective_wellbeing_toolkit%20" TargetMode="External"/><Relationship Id="rId59" Type="http://schemas.openxmlformats.org/officeDocument/2006/relationships/hyperlink" Target="http://www.who.int/topics/substance_abuse/en/" TargetMode="External"/><Relationship Id="rId67" Type="http://schemas.openxmlformats.org/officeDocument/2006/relationships/theme" Target="theme/theme1.xml"/><Relationship Id="rId20" Type="http://schemas.openxmlformats.org/officeDocument/2006/relationships/hyperlink" Target="http://www.aihw.gov.au/youth-health-and-wellbeing/%20" TargetMode="External"/><Relationship Id="rId41" Type="http://schemas.openxmlformats.org/officeDocument/2006/relationships/hyperlink" Target="http://aodstats.org.au/" TargetMode="External"/><Relationship Id="rId54" Type="http://schemas.openxmlformats.org/officeDocument/2006/relationships/hyperlink" Target="http://www.legalaid.vic.gov.au/find-legal-answers/victims-of-crime" TargetMode="External"/><Relationship Id="rId6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D09E-E09A-47A5-9160-6A80067C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Follower.dotx</Template>
  <TotalTime>3</TotalTime>
  <Pages>12</Pages>
  <Words>5057</Words>
  <Characters>28829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Rider</dc:creator>
  <cp:lastModifiedBy>Stephanie Green</cp:lastModifiedBy>
  <cp:revision>2</cp:revision>
  <dcterms:created xsi:type="dcterms:W3CDTF">2017-04-05T23:36:00Z</dcterms:created>
  <dcterms:modified xsi:type="dcterms:W3CDTF">2017-04-05T23:36:00Z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A1553081</vt:lpwstr>
  </property>
  <property fmtid="{D5CDD505-2E9C-101B-9397-08002B2CF9AE}" pid="4" name="Objective-Title">
    <vt:lpwstr>Health and Wellbeing Profile - Summary - 2017-01-06</vt:lpwstr>
  </property>
  <property fmtid="{D5CDD505-2E9C-101B-9397-08002B2CF9AE}" pid="5" name="Objective-Comment">
    <vt:lpwstr/>
  </property>
  <property fmtid="{D5CDD505-2E9C-101B-9397-08002B2CF9AE}" pid="6" name="Objective-CreationStamp">
    <vt:filetime>2017-01-06T06:15:42Z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2017-04-04T07:14:50Z</vt:filetime>
  </property>
  <property fmtid="{D5CDD505-2E9C-101B-9397-08002B2CF9AE}" pid="10" name="Objective-ModificationStamp">
    <vt:filetime>2017-04-04T07:14:50Z</vt:filetime>
  </property>
  <property fmtid="{D5CDD505-2E9C-101B-9397-08002B2CF9AE}" pid="11" name="Objective-Owner">
    <vt:lpwstr>Elyse Rider</vt:lpwstr>
  </property>
  <property fmtid="{D5CDD505-2E9C-101B-9397-08002B2CF9AE}" pid="12" name="Objective-Path">
    <vt:lpwstr>Objective Global Folder:Corporate Management:Department - Community Planning &amp; Development - Leading Communities:Research &amp; Materials:</vt:lpwstr>
  </property>
  <property fmtid="{D5CDD505-2E9C-101B-9397-08002B2CF9AE}" pid="13" name="Objective-Parent">
    <vt:lpwstr>Research &amp; Materials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qA6447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