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75" w:rsidRPr="007844A6" w:rsidRDefault="00733C75"/>
    <w:p w:rsidR="00B749DD" w:rsidRPr="007844A6" w:rsidRDefault="00B749DD"/>
    <w:p w:rsidR="00B749DD" w:rsidRPr="007844A6" w:rsidRDefault="00B749DD"/>
    <w:p w:rsidR="00B749DD" w:rsidRPr="007844A6" w:rsidRDefault="00BD1F80">
      <w:r w:rsidRPr="007844A6">
        <w:rPr>
          <w:noProof/>
          <w:lang w:val="en-US"/>
        </w:rPr>
        <w:pict>
          <v:shapetype id="_x0000_t202" coordsize="21600,21600" o:spt="202" path="m,l,21600r21600,l21600,xe">
            <v:stroke joinstyle="miter"/>
            <v:path gradientshapeok="t" o:connecttype="rect"/>
          </v:shapetype>
          <v:shape id="Text Box 2" o:spid="_x0000_s1026" type="#_x0000_t202" style="position:absolute;margin-left:-12.1pt;margin-top:150.3pt;width:531.6pt;height:82.2pt;z-index:251659264;visibility:visibl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" filled="f" stroked="f">
            <v:textbox inset="0,0,0,0">
              <w:txbxContent>
                <w:p w:rsidR="004D475F" w:rsidRPr="005E1AAC" w:rsidRDefault="004D475F" w:rsidP="00B749DD">
                  <w:pPr>
                    <w:pStyle w:val="Header01"/>
                    <w:jc w:val="both"/>
                    <w:rPr>
                      <w:sz w:val="72"/>
                    </w:rPr>
                  </w:pPr>
                  <w:r w:rsidRPr="00F93600">
                    <w:rPr>
                      <w:sz w:val="72"/>
                    </w:rPr>
                    <w:t xml:space="preserve">Khu vực </w:t>
                  </w:r>
                  <w:r>
                    <w:rPr>
                      <w:sz w:val="72"/>
                    </w:rPr>
                    <w:t>T</w:t>
                  </w:r>
                  <w:r w:rsidRPr="00F93600">
                    <w:rPr>
                      <w:sz w:val="72"/>
                    </w:rPr>
                    <w:t xml:space="preserve">ăng trưởng </w:t>
                  </w:r>
                  <w:r>
                    <w:rPr>
                      <w:sz w:val="72"/>
                    </w:rPr>
                    <w:t>D</w:t>
                  </w:r>
                  <w:r w:rsidRPr="00F93600">
                    <w:rPr>
                      <w:sz w:val="72"/>
                    </w:rPr>
                    <w:t>ân cư</w:t>
                  </w:r>
                </w:p>
                <w:p w:rsidR="004D475F" w:rsidRPr="00DF1843" w:rsidRDefault="004D475F" w:rsidP="00B749DD">
                  <w:pPr>
                    <w:pStyle w:val="IntroPara01"/>
                    <w:jc w:val="both"/>
                  </w:pPr>
                  <w:r>
                    <w:t xml:space="preserve"> </w:t>
                  </w:r>
                  <w:r w:rsidR="00CD1E3A" w:rsidRPr="00CD1E3A">
                    <w:t>TỜ THÔNG TIN</w:t>
                  </w:r>
                </w:p>
                <w:p w:rsidR="004D475F" w:rsidRDefault="004D475F" w:rsidP="00B749DD">
                  <w:pPr>
                    <w:pStyle w:val="Header01"/>
                    <w:jc w:val="both"/>
                  </w:pPr>
                </w:p>
                <w:p w:rsidR="001B7E6E" w:rsidRPr="001B7E6E" w:rsidRDefault="001B7E6E" w:rsidP="001B7E6E">
                  <w:pPr>
                    <w:pStyle w:val="IntroPara01"/>
                  </w:pPr>
                </w:p>
              </w:txbxContent>
            </v:textbox>
            <w10:wrap type="through" anchory="page"/>
          </v:shape>
        </w:pict>
      </w:r>
    </w:p>
    <w:p w:rsidR="00733C75" w:rsidRPr="007844A6" w:rsidRDefault="00F93600" w:rsidP="00F14C2E">
      <w:pPr>
        <w:pStyle w:val="Style1"/>
      </w:pPr>
      <w:r w:rsidRPr="007844A6">
        <w:t>Mục đích của khu vực này là gì</w:t>
      </w:r>
      <w:r w:rsidR="00733C75" w:rsidRPr="007844A6">
        <w:t>?</w:t>
      </w:r>
    </w:p>
    <w:p w:rsidR="00F14C2E" w:rsidRPr="007844A6" w:rsidRDefault="00C3637A" w:rsidP="00733C75">
      <w:pPr>
        <w:rPr>
          <w:rFonts w:cs="Arial"/>
        </w:rPr>
      </w:pPr>
      <w:r w:rsidRPr="007844A6">
        <w:rPr>
          <w:rFonts w:cs="Arial"/>
        </w:rPr>
        <w:t xml:space="preserve">Mục đích của </w:t>
      </w:r>
      <w:r w:rsidR="00803939" w:rsidRPr="007844A6">
        <w:rPr>
          <w:rFonts w:cs="Arial"/>
        </w:rPr>
        <w:t>Khu vực Tăng trưởng Dân cư</w:t>
      </w:r>
      <w:r w:rsidR="00F93600" w:rsidRPr="007844A6">
        <w:rPr>
          <w:rFonts w:cs="Arial"/>
        </w:rPr>
        <w:t xml:space="preserve"> </w:t>
      </w:r>
      <w:r w:rsidRPr="007844A6">
        <w:rPr>
          <w:rFonts w:cs="Arial"/>
        </w:rPr>
        <w:t xml:space="preserve">là </w:t>
      </w:r>
      <w:r w:rsidR="00F93600" w:rsidRPr="007844A6">
        <w:rPr>
          <w:rFonts w:cs="Arial"/>
        </w:rPr>
        <w:t xml:space="preserve">cho phép tăng trưởng nhà ở mới và đa dạng </w:t>
      </w:r>
      <w:r w:rsidR="00A96247" w:rsidRPr="007844A6">
        <w:rPr>
          <w:rFonts w:cs="Arial"/>
        </w:rPr>
        <w:t xml:space="preserve">hơn </w:t>
      </w:r>
      <w:r w:rsidR="00F93600" w:rsidRPr="007844A6">
        <w:rPr>
          <w:rFonts w:cs="Arial"/>
        </w:rPr>
        <w:t>về nhà ở tại những nơi phù hợp</w:t>
      </w:r>
      <w:r w:rsidR="00733C75" w:rsidRPr="007844A6">
        <w:rPr>
          <w:rFonts w:cs="Arial"/>
        </w:rPr>
        <w:t xml:space="preserve">. </w:t>
      </w:r>
    </w:p>
    <w:p w:rsidR="00733C75" w:rsidRPr="007844A6" w:rsidRDefault="008F4F43" w:rsidP="00733C75">
      <w:pPr>
        <w:rPr>
          <w:rFonts w:cs="Arial"/>
        </w:rPr>
      </w:pPr>
      <w:r w:rsidRPr="007844A6">
        <w:rPr>
          <w:rFonts w:cs="Arial"/>
        </w:rPr>
        <w:t xml:space="preserve">Trong các khu dân cư thuộc thẩm quyền của chính quyền địa phương, vai trò của </w:t>
      </w:r>
      <w:r w:rsidR="00803939" w:rsidRPr="007844A6">
        <w:rPr>
          <w:rFonts w:cs="Arial"/>
        </w:rPr>
        <w:t>Khu vực Tăng trưởng Dân cư</w:t>
      </w:r>
      <w:r w:rsidRPr="007844A6">
        <w:rPr>
          <w:rFonts w:cs="Arial"/>
        </w:rPr>
        <w:t xml:space="preserve"> là</w:t>
      </w:r>
      <w:r w:rsidR="00F14C2E" w:rsidRPr="007844A6">
        <w:rPr>
          <w:rFonts w:cs="Arial"/>
        </w:rPr>
        <w:t xml:space="preserve"> </w:t>
      </w:r>
      <w:r w:rsidR="00F93600" w:rsidRPr="007844A6">
        <w:rPr>
          <w:rFonts w:cs="Arial"/>
        </w:rPr>
        <w:t xml:space="preserve">khuyến khích mật độ dân cư và quy mô phát triển </w:t>
      </w:r>
      <w:r w:rsidR="00A96247" w:rsidRPr="007844A6">
        <w:rPr>
          <w:rFonts w:cs="Arial"/>
        </w:rPr>
        <w:t xml:space="preserve">lớn nhất trong </w:t>
      </w:r>
      <w:r w:rsidR="00F93600" w:rsidRPr="007844A6">
        <w:rPr>
          <w:rFonts w:cs="Arial"/>
        </w:rPr>
        <w:t>ba khu dân cư mới</w:t>
      </w:r>
      <w:r w:rsidR="00733C75" w:rsidRPr="007844A6">
        <w:rPr>
          <w:rFonts w:cs="Arial"/>
        </w:rPr>
        <w:t>.</w:t>
      </w:r>
    </w:p>
    <w:p w:rsidR="00733C75" w:rsidRPr="007844A6" w:rsidRDefault="00103862" w:rsidP="00F14C2E">
      <w:pPr>
        <w:pStyle w:val="Style1"/>
      </w:pPr>
      <w:r w:rsidRPr="007844A6">
        <w:t>Khu vực này sẽ được áp dụng ở đâu</w:t>
      </w:r>
      <w:r w:rsidR="00733C75" w:rsidRPr="007844A6">
        <w:t>?</w:t>
      </w:r>
    </w:p>
    <w:p w:rsidR="00F14C2E" w:rsidRPr="007844A6" w:rsidRDefault="00CD1E3A" w:rsidP="00733C75">
      <w:pPr>
        <w:rPr>
          <w:rFonts w:cs="Arial"/>
        </w:rPr>
      </w:pPr>
      <w:r w:rsidRPr="007844A6">
        <w:rPr>
          <w:rFonts w:cs="Arial"/>
        </w:rPr>
        <w:t xml:space="preserve">Khu vực Tăng trưởng Dân cư </w:t>
      </w:r>
      <w:r w:rsidR="008F4F43" w:rsidRPr="007844A6">
        <w:rPr>
          <w:rFonts w:cs="Arial"/>
          <w:color w:val="222222"/>
          <w:sz w:val="19"/>
          <w:szCs w:val="19"/>
          <w:shd w:val="clear" w:color="auto" w:fill="FFFFFF"/>
        </w:rPr>
        <w:t>sẽ áp dụng cho những khu dân cư có thể đáp ứng việc thay đổi lớn</w:t>
      </w:r>
      <w:r w:rsidR="001B7E6E" w:rsidRPr="007844A6">
        <w:rPr>
          <w:rFonts w:cs="Arial"/>
          <w:color w:val="222222"/>
          <w:sz w:val="19"/>
          <w:szCs w:val="19"/>
          <w:shd w:val="clear" w:color="auto" w:fill="FFFFFF"/>
        </w:rPr>
        <w:t>,</w:t>
      </w:r>
      <w:r w:rsidR="008F4F43" w:rsidRPr="007844A6">
        <w:rPr>
          <w:rFonts w:cs="Arial"/>
          <w:color w:val="222222"/>
          <w:sz w:val="19"/>
          <w:szCs w:val="19"/>
          <w:shd w:val="clear" w:color="auto" w:fill="FFFFFF"/>
        </w:rPr>
        <w:t xml:space="preserve"> đặc biệt là ở những </w:t>
      </w:r>
      <w:r w:rsidR="001B7E6E" w:rsidRPr="007844A6">
        <w:rPr>
          <w:rFonts w:cs="Arial"/>
          <w:color w:val="222222"/>
          <w:sz w:val="19"/>
          <w:szCs w:val="19"/>
          <w:shd w:val="clear" w:color="auto" w:fill="FFFFFF"/>
        </w:rPr>
        <w:t xml:space="preserve">nơi </w:t>
      </w:r>
      <w:r w:rsidR="00A96247" w:rsidRPr="007844A6">
        <w:rPr>
          <w:rFonts w:cs="Arial"/>
          <w:color w:val="222222"/>
          <w:sz w:val="19"/>
          <w:szCs w:val="19"/>
          <w:shd w:val="clear" w:color="auto" w:fill="FFFFFF"/>
        </w:rPr>
        <w:t xml:space="preserve">dễ tiếp cận </w:t>
      </w:r>
      <w:r w:rsidR="008F4F43" w:rsidRPr="007844A6">
        <w:rPr>
          <w:rFonts w:cs="Arial"/>
          <w:color w:val="222222"/>
          <w:sz w:val="19"/>
          <w:szCs w:val="19"/>
          <w:shd w:val="clear" w:color="auto" w:fill="FFFFFF"/>
        </w:rPr>
        <w:t>giao thông công cộng và dịch vụ</w:t>
      </w:r>
      <w:r w:rsidR="00F14C2E" w:rsidRPr="007844A6">
        <w:rPr>
          <w:rFonts w:cs="Arial"/>
        </w:rPr>
        <w:t>.</w:t>
      </w:r>
    </w:p>
    <w:p w:rsidR="00F14C2E" w:rsidRPr="007844A6" w:rsidRDefault="008F4F43" w:rsidP="00733C75">
      <w:pPr>
        <w:rPr>
          <w:rFonts w:cs="Arial"/>
        </w:rPr>
      </w:pPr>
      <w:r w:rsidRPr="007844A6">
        <w:rPr>
          <w:rFonts w:cs="Arial"/>
        </w:rPr>
        <w:t xml:space="preserve">Tại Wyndham, tất cả các khu vực </w:t>
      </w:r>
      <w:r w:rsidR="00A96247" w:rsidRPr="007844A6">
        <w:rPr>
          <w:rFonts w:cs="Arial"/>
        </w:rPr>
        <w:t xml:space="preserve">được thể hiện là </w:t>
      </w:r>
      <w:r w:rsidRPr="007844A6">
        <w:rPr>
          <w:rFonts w:cs="Arial"/>
        </w:rPr>
        <w:t>'Thay đổi Đáng kể' trong</w:t>
      </w:r>
      <w:r w:rsidR="00F14C2E" w:rsidRPr="007844A6">
        <w:rPr>
          <w:rFonts w:cs="Arial"/>
        </w:rPr>
        <w:t xml:space="preserve"> </w:t>
      </w:r>
      <w:r w:rsidRPr="007844A6">
        <w:rPr>
          <w:rFonts w:cs="Arial"/>
          <w:i/>
        </w:rPr>
        <w:t xml:space="preserve">Chiến lược Nhà ở và Đặc tính Cộng đồng </w:t>
      </w:r>
      <w:r w:rsidR="00C3637A" w:rsidRPr="007844A6">
        <w:rPr>
          <w:rFonts w:cs="Arial"/>
          <w:i/>
        </w:rPr>
        <w:t xml:space="preserve">(Housing and Neighbourhood Character Strategy) </w:t>
      </w:r>
      <w:r w:rsidRPr="007844A6">
        <w:rPr>
          <w:rFonts w:cs="Arial"/>
          <w:i/>
        </w:rPr>
        <w:t>2015</w:t>
      </w:r>
      <w:r w:rsidR="00F14C2E" w:rsidRPr="007844A6">
        <w:rPr>
          <w:rFonts w:cs="Arial"/>
          <w:i/>
        </w:rPr>
        <w:t xml:space="preserve"> </w:t>
      </w:r>
      <w:r w:rsidRPr="007844A6">
        <w:rPr>
          <w:rFonts w:cs="Arial"/>
        </w:rPr>
        <w:t xml:space="preserve">dự kiến sẽ được phân </w:t>
      </w:r>
      <w:r w:rsidR="00A96247" w:rsidRPr="007844A6">
        <w:rPr>
          <w:rFonts w:cs="Arial"/>
        </w:rPr>
        <w:t xml:space="preserve">lại </w:t>
      </w:r>
      <w:r w:rsidRPr="007844A6">
        <w:rPr>
          <w:rFonts w:cs="Arial"/>
        </w:rPr>
        <w:t xml:space="preserve">thành </w:t>
      </w:r>
      <w:r w:rsidR="00803939" w:rsidRPr="007844A6">
        <w:rPr>
          <w:rFonts w:cs="Arial"/>
        </w:rPr>
        <w:t>Khu vực Tăng trưởng Dân cư</w:t>
      </w:r>
      <w:r w:rsidR="00F14C2E" w:rsidRPr="007844A6">
        <w:rPr>
          <w:rFonts w:cs="Arial"/>
        </w:rPr>
        <w:t>.</w:t>
      </w:r>
    </w:p>
    <w:p w:rsidR="00053633" w:rsidRPr="007844A6" w:rsidRDefault="00CE150D" w:rsidP="00733C75">
      <w:pPr>
        <w:rPr>
          <w:rFonts w:cs="Arial"/>
        </w:rPr>
      </w:pPr>
      <w:r w:rsidRPr="007844A6">
        <w:rPr>
          <w:rFonts w:cs="Arial"/>
        </w:rPr>
        <w:t xml:space="preserve">Những tiêu chí được sử dụng trong Chiến lược để xác định </w:t>
      </w:r>
      <w:r w:rsidR="001B7E6E" w:rsidRPr="007844A6">
        <w:rPr>
          <w:rFonts w:cs="Arial"/>
        </w:rPr>
        <w:t xml:space="preserve">những </w:t>
      </w:r>
      <w:r w:rsidRPr="007844A6">
        <w:rPr>
          <w:rFonts w:cs="Arial"/>
        </w:rPr>
        <w:t>khu vực có Thay đổi Đáng kể là</w:t>
      </w:r>
      <w:r w:rsidR="00F14C2E" w:rsidRPr="007844A6">
        <w:rPr>
          <w:rFonts w:cs="Arial"/>
        </w:rPr>
        <w:t xml:space="preserve">: </w:t>
      </w:r>
    </w:p>
    <w:p w:rsidR="00CE150D" w:rsidRPr="007844A6" w:rsidRDefault="00CE150D" w:rsidP="00CE150D">
      <w:pPr>
        <w:pStyle w:val="ListParagraph"/>
        <w:numPr>
          <w:ilvl w:val="0"/>
          <w:numId w:val="1"/>
        </w:numPr>
        <w:ind w:left="360"/>
        <w:rPr>
          <w:rFonts w:cs="Arial"/>
        </w:rPr>
      </w:pPr>
      <w:r w:rsidRPr="007844A6">
        <w:rPr>
          <w:rFonts w:cs="Arial"/>
        </w:rPr>
        <w:t xml:space="preserve">Những </w:t>
      </w:r>
      <w:r w:rsidR="00C3637A" w:rsidRPr="007844A6">
        <w:rPr>
          <w:rFonts w:cs="Arial"/>
        </w:rPr>
        <w:t xml:space="preserve">địa điểm </w:t>
      </w:r>
      <w:r w:rsidRPr="007844A6">
        <w:rPr>
          <w:rFonts w:cs="Arial"/>
        </w:rPr>
        <w:t xml:space="preserve">nằm trong </w:t>
      </w:r>
      <w:r w:rsidR="000A7099" w:rsidRPr="007844A6">
        <w:rPr>
          <w:rFonts w:cs="Arial"/>
        </w:rPr>
        <w:t xml:space="preserve">phạm </w:t>
      </w:r>
      <w:proofErr w:type="gramStart"/>
      <w:r w:rsidR="000A7099" w:rsidRPr="007844A6">
        <w:rPr>
          <w:rFonts w:cs="Arial"/>
        </w:rPr>
        <w:t>vi</w:t>
      </w:r>
      <w:proofErr w:type="gramEnd"/>
      <w:r w:rsidR="000A7099" w:rsidRPr="007844A6">
        <w:rPr>
          <w:rFonts w:cs="Arial"/>
        </w:rPr>
        <w:t xml:space="preserve"> </w:t>
      </w:r>
      <w:r w:rsidRPr="007844A6">
        <w:rPr>
          <w:rFonts w:cs="Arial"/>
        </w:rPr>
        <w:t xml:space="preserve">400 mét so với nhà ga xe lửa </w:t>
      </w:r>
      <w:r w:rsidR="001B7E6E" w:rsidRPr="007844A6">
        <w:rPr>
          <w:rFonts w:cs="Arial"/>
        </w:rPr>
        <w:t>đã và sẽ có</w:t>
      </w:r>
      <w:r w:rsidRPr="007844A6">
        <w:rPr>
          <w:rFonts w:cs="Arial"/>
        </w:rPr>
        <w:t xml:space="preserve"> </w:t>
      </w:r>
      <w:r w:rsidR="000A7099" w:rsidRPr="007844A6">
        <w:rPr>
          <w:rFonts w:cs="Arial"/>
        </w:rPr>
        <w:t xml:space="preserve">và </w:t>
      </w:r>
      <w:r w:rsidRPr="007844A6">
        <w:rPr>
          <w:rFonts w:cs="Arial"/>
        </w:rPr>
        <w:t xml:space="preserve">những tuyến xe buýt đã chọn </w:t>
      </w:r>
      <w:r w:rsidR="000A7099" w:rsidRPr="007844A6">
        <w:rPr>
          <w:rFonts w:cs="Arial"/>
        </w:rPr>
        <w:t xml:space="preserve">trong </w:t>
      </w:r>
      <w:r w:rsidRPr="007844A6">
        <w:rPr>
          <w:rFonts w:cs="Arial"/>
        </w:rPr>
        <w:t>Mạng lưới Giao thông Công cộng Chủ yếu (</w:t>
      </w:r>
      <w:r w:rsidR="00C214DB" w:rsidRPr="007844A6">
        <w:rPr>
          <w:rFonts w:cs="Arial"/>
        </w:rPr>
        <w:t>nếu</w:t>
      </w:r>
      <w:r w:rsidRPr="007844A6">
        <w:rPr>
          <w:rFonts w:cs="Arial"/>
        </w:rPr>
        <w:t xml:space="preserve"> không có các hạn chế khác</w:t>
      </w:r>
      <w:r w:rsidR="00C214DB" w:rsidRPr="007844A6">
        <w:rPr>
          <w:rFonts w:cs="Arial"/>
        </w:rPr>
        <w:t>).</w:t>
      </w:r>
    </w:p>
    <w:p w:rsidR="00C214DB" w:rsidRPr="007844A6" w:rsidRDefault="00C214DB" w:rsidP="00C214DB">
      <w:pPr>
        <w:pStyle w:val="ListParagraph"/>
        <w:numPr>
          <w:ilvl w:val="0"/>
          <w:numId w:val="1"/>
        </w:numPr>
        <w:ind w:left="360"/>
        <w:rPr>
          <w:rFonts w:cs="Arial"/>
        </w:rPr>
      </w:pPr>
      <w:r w:rsidRPr="007844A6">
        <w:rPr>
          <w:rFonts w:cs="Arial"/>
        </w:rPr>
        <w:t xml:space="preserve">Những </w:t>
      </w:r>
      <w:r w:rsidR="00C3637A" w:rsidRPr="007844A6">
        <w:rPr>
          <w:rFonts w:cs="Arial"/>
        </w:rPr>
        <w:t xml:space="preserve">địa điểm </w:t>
      </w:r>
      <w:r w:rsidRPr="007844A6">
        <w:rPr>
          <w:rFonts w:cs="Arial"/>
        </w:rPr>
        <w:t xml:space="preserve">trong phạm </w:t>
      </w:r>
      <w:proofErr w:type="gramStart"/>
      <w:r w:rsidRPr="007844A6">
        <w:rPr>
          <w:rFonts w:cs="Arial"/>
        </w:rPr>
        <w:t>vi</w:t>
      </w:r>
      <w:proofErr w:type="gramEnd"/>
      <w:r w:rsidRPr="007844A6">
        <w:rPr>
          <w:rFonts w:cs="Arial"/>
        </w:rPr>
        <w:t xml:space="preserve"> 400 mét so với một Trung tâm Hoạt động </w:t>
      </w:r>
      <w:r w:rsidR="00C3637A" w:rsidRPr="007844A6">
        <w:rPr>
          <w:rFonts w:cs="Arial"/>
        </w:rPr>
        <w:t xml:space="preserve">Lớn </w:t>
      </w:r>
      <w:r w:rsidR="000A7099" w:rsidRPr="007844A6">
        <w:rPr>
          <w:rFonts w:cs="Arial"/>
        </w:rPr>
        <w:t>h</w:t>
      </w:r>
      <w:r w:rsidRPr="007844A6">
        <w:rPr>
          <w:rFonts w:cs="Arial"/>
        </w:rPr>
        <w:t>iện có hoặc dự kiến hoặc một Trung tâm Hoạt động Chính (nếu không có các hạn chế khác).</w:t>
      </w:r>
    </w:p>
    <w:p w:rsidR="00F960A8" w:rsidRPr="007844A6" w:rsidRDefault="000A7099" w:rsidP="001E6C78">
      <w:pPr>
        <w:pStyle w:val="Style1"/>
      </w:pPr>
      <w:r w:rsidRPr="007844A6">
        <w:t>H</w:t>
      </w:r>
      <w:r w:rsidR="00AF4E2F" w:rsidRPr="007844A6">
        <w:t xml:space="preserve">iện </w:t>
      </w:r>
      <w:r w:rsidRPr="007844A6">
        <w:t xml:space="preserve">nay </w:t>
      </w:r>
      <w:r w:rsidR="00AF4E2F" w:rsidRPr="007844A6">
        <w:t>đang áp dụng</w:t>
      </w:r>
      <w:r w:rsidRPr="007844A6">
        <w:t xml:space="preserve"> những khu vực nào</w:t>
      </w:r>
      <w:r w:rsidR="001E6C78" w:rsidRPr="007844A6">
        <w:t>?</w:t>
      </w:r>
    </w:p>
    <w:p w:rsidR="001E6C78" w:rsidRPr="007844A6" w:rsidRDefault="00CD1E3A" w:rsidP="001E6C78">
      <w:pPr>
        <w:pStyle w:val="Style1"/>
        <w:jc w:val="both"/>
        <w:rPr>
          <w:color w:val="auto"/>
          <w:sz w:val="22"/>
          <w:szCs w:val="22"/>
        </w:rPr>
      </w:pPr>
      <w:r w:rsidRPr="007844A6">
        <w:rPr>
          <w:color w:val="auto"/>
          <w:sz w:val="22"/>
          <w:szCs w:val="22"/>
        </w:rPr>
        <w:t>Hầu hết đất ở tại Wyndham đều nằm trong Khu vực Dân cư Thông thường. Tuy nhiên, có một số khu vực có phân loại khác do có những yêu cầu cụ thể (ví dụ như các khu vực tăng trưởng của Wyndham, hoặc khu vực thị trấn Little River</w:t>
      </w:r>
      <w:r w:rsidR="001E6C78" w:rsidRPr="007844A6">
        <w:rPr>
          <w:color w:val="auto"/>
          <w:sz w:val="22"/>
          <w:szCs w:val="22"/>
        </w:rPr>
        <w:t xml:space="preserve">).  </w:t>
      </w:r>
    </w:p>
    <w:p w:rsidR="001E6C78" w:rsidRPr="007844A6" w:rsidRDefault="00CD1E3A" w:rsidP="001E6C78">
      <w:pPr>
        <w:pStyle w:val="Style1"/>
        <w:jc w:val="both"/>
        <w:rPr>
          <w:color w:val="auto"/>
          <w:sz w:val="22"/>
          <w:szCs w:val="22"/>
        </w:rPr>
      </w:pPr>
      <w:r w:rsidRPr="007844A6">
        <w:rPr>
          <w:color w:val="auto"/>
          <w:sz w:val="22"/>
          <w:szCs w:val="22"/>
        </w:rPr>
        <w:t xml:space="preserve">Quý vị có thể </w:t>
      </w:r>
      <w:r w:rsidR="001B7E6E" w:rsidRPr="007844A6">
        <w:rPr>
          <w:color w:val="auto"/>
          <w:sz w:val="22"/>
          <w:szCs w:val="22"/>
        </w:rPr>
        <w:t xml:space="preserve">thấy nhà của mình thuộc </w:t>
      </w:r>
      <w:r w:rsidRPr="007844A6">
        <w:rPr>
          <w:color w:val="auto"/>
          <w:sz w:val="22"/>
          <w:szCs w:val="22"/>
        </w:rPr>
        <w:t xml:space="preserve">khu </w:t>
      </w:r>
      <w:r w:rsidR="001B7E6E" w:rsidRPr="007844A6">
        <w:rPr>
          <w:color w:val="auto"/>
          <w:sz w:val="22"/>
          <w:szCs w:val="22"/>
        </w:rPr>
        <w:t xml:space="preserve">vực nào </w:t>
      </w:r>
      <w:r w:rsidRPr="007844A6">
        <w:rPr>
          <w:color w:val="auto"/>
          <w:sz w:val="22"/>
          <w:szCs w:val="22"/>
        </w:rPr>
        <w:t xml:space="preserve">khi xem việc phân khu dự kiến trên MyWyndham (hãy truy cập </w:t>
      </w:r>
      <w:hyperlink r:id="rId8" w:history="1">
        <w:r w:rsidR="001E6C78" w:rsidRPr="007844A6">
          <w:rPr>
            <w:rStyle w:val="Hyperlink"/>
            <w:sz w:val="22"/>
            <w:szCs w:val="22"/>
          </w:rPr>
          <w:t>www.wyndham.vic.gov.au/housing</w:t>
        </w:r>
      </w:hyperlink>
      <w:r w:rsidR="001E6C78" w:rsidRPr="007844A6">
        <w:rPr>
          <w:color w:val="auto"/>
          <w:sz w:val="22"/>
          <w:szCs w:val="22"/>
        </w:rPr>
        <w:t xml:space="preserve"> </w:t>
      </w:r>
      <w:r w:rsidRPr="007844A6">
        <w:rPr>
          <w:color w:val="auto"/>
          <w:sz w:val="22"/>
          <w:szCs w:val="22"/>
        </w:rPr>
        <w:t>để biết thêm chi tiết</w:t>
      </w:r>
      <w:r w:rsidR="001E6C78" w:rsidRPr="007844A6">
        <w:rPr>
          <w:color w:val="auto"/>
          <w:sz w:val="22"/>
          <w:szCs w:val="22"/>
        </w:rPr>
        <w:t xml:space="preserve">). </w:t>
      </w:r>
    </w:p>
    <w:p w:rsidR="00114A54" w:rsidRPr="007844A6" w:rsidRDefault="002A5C6B" w:rsidP="00114A54">
      <w:pPr>
        <w:pStyle w:val="Style1"/>
      </w:pPr>
      <w:r w:rsidRPr="007844A6">
        <w:lastRenderedPageBreak/>
        <w:t>Tôi có thể kỳ vọng loại hình nhà ở</w:t>
      </w:r>
      <w:r w:rsidR="000A7099" w:rsidRPr="007844A6">
        <w:t xml:space="preserve"> nào</w:t>
      </w:r>
      <w:r w:rsidRPr="007844A6">
        <w:t xml:space="preserve"> tại khu vực này</w:t>
      </w:r>
      <w:r w:rsidR="00114A54" w:rsidRPr="007844A6">
        <w:t>?</w:t>
      </w:r>
    </w:p>
    <w:p w:rsidR="00114A54" w:rsidRPr="007844A6" w:rsidRDefault="002A5C6B" w:rsidP="00114A54">
      <w:pPr>
        <w:jc w:val="both"/>
      </w:pPr>
      <w:r w:rsidRPr="007844A6">
        <w:rPr>
          <w:i/>
        </w:rPr>
        <w:t>Chiến lược Nhà ở và Đặc tính Cộng đồng</w:t>
      </w:r>
      <w:r w:rsidR="00114A54" w:rsidRPr="007844A6">
        <w:rPr>
          <w:i/>
        </w:rPr>
        <w:t xml:space="preserve"> 2015</w:t>
      </w:r>
      <w:r w:rsidR="00114A54" w:rsidRPr="007844A6">
        <w:t xml:space="preserve"> </w:t>
      </w:r>
      <w:r w:rsidR="000A7099" w:rsidRPr="007844A6">
        <w:rPr>
          <w:rFonts w:cs="Times New Roman"/>
        </w:rPr>
        <w:t xml:space="preserve">khuyến khích </w:t>
      </w:r>
      <w:r w:rsidRPr="007844A6">
        <w:t xml:space="preserve">các loại nhà ở có mật độ cao đặc biệt là nhà </w:t>
      </w:r>
      <w:r w:rsidR="000A7099" w:rsidRPr="007844A6">
        <w:t>townhouse</w:t>
      </w:r>
      <w:r w:rsidRPr="007844A6">
        <w:t xml:space="preserve">, unit, căn hộ và </w:t>
      </w:r>
      <w:r w:rsidR="000A7099" w:rsidRPr="007844A6">
        <w:t xml:space="preserve">nhà </w:t>
      </w:r>
      <w:r w:rsidR="00803939" w:rsidRPr="007844A6">
        <w:t xml:space="preserve">trên </w:t>
      </w:r>
      <w:r w:rsidR="00C3637A" w:rsidRPr="007844A6">
        <w:rPr>
          <w:rFonts w:cs="Arial"/>
        </w:rPr>
        <w:t>cửa tiệm (shop-top)</w:t>
      </w:r>
      <w:r w:rsidR="00803939" w:rsidRPr="007844A6">
        <w:t xml:space="preserve">, </w:t>
      </w:r>
      <w:r w:rsidRPr="007844A6">
        <w:t xml:space="preserve">cũng như những loại nhà ở quy mô nhỏ hơn đặc biệt là </w:t>
      </w:r>
      <w:r w:rsidR="001B7E6E" w:rsidRPr="007844A6">
        <w:t xml:space="preserve">nhà có </w:t>
      </w:r>
      <w:r w:rsidRPr="007844A6">
        <w:t>một hoặc hai phòng ngủ</w:t>
      </w:r>
      <w:r w:rsidR="00114A54" w:rsidRPr="007844A6">
        <w:t>.</w:t>
      </w:r>
    </w:p>
    <w:p w:rsidR="001E6C78" w:rsidRPr="007844A6" w:rsidRDefault="00F06C56" w:rsidP="001E6C78">
      <w:pPr>
        <w:pStyle w:val="Style1"/>
      </w:pPr>
      <w:r w:rsidRPr="007844A6">
        <w:t>Việc phân khu được thực hiện như thế nào</w:t>
      </w:r>
      <w:r w:rsidR="001E6C78" w:rsidRPr="007844A6">
        <w:t>?</w:t>
      </w:r>
    </w:p>
    <w:p w:rsidR="00CD1E3A" w:rsidRPr="007844A6" w:rsidRDefault="00CD1E3A" w:rsidP="00CD1E3A">
      <w:pPr>
        <w:jc w:val="both"/>
      </w:pPr>
      <w:r w:rsidRPr="007844A6">
        <w:t xml:space="preserve">Việc phân khu quy định khi nào </w:t>
      </w:r>
      <w:r w:rsidR="001B7E6E" w:rsidRPr="007844A6">
        <w:t xml:space="preserve">thì </w:t>
      </w:r>
      <w:r w:rsidRPr="007844A6">
        <w:t xml:space="preserve">cần </w:t>
      </w:r>
      <w:r w:rsidR="001B7E6E" w:rsidRPr="007844A6">
        <w:t xml:space="preserve">phải có </w:t>
      </w:r>
      <w:r w:rsidRPr="007844A6">
        <w:t>giấy phép cho việc sử dụng và/hoặc phát triển cụ thể</w:t>
      </w:r>
      <w:r w:rsidR="001B7E6E" w:rsidRPr="007844A6">
        <w:t xml:space="preserve"> trong một khu vực</w:t>
      </w:r>
      <w:r w:rsidRPr="007844A6">
        <w:t>.</w:t>
      </w:r>
    </w:p>
    <w:p w:rsidR="00CD1E3A" w:rsidRPr="007844A6" w:rsidRDefault="001B7E6E" w:rsidP="00CD1E3A">
      <w:pPr>
        <w:jc w:val="both"/>
      </w:pPr>
      <w:r w:rsidRPr="007844A6">
        <w:t xml:space="preserve">Đối với việc phát triển nhà ở thì cần phải có giấy phép để </w:t>
      </w:r>
      <w:r w:rsidR="00CD1E3A" w:rsidRPr="007844A6">
        <w:t xml:space="preserve">xây dựng nhiều hơn một căn nhà trên một </w:t>
      </w:r>
      <w:r w:rsidRPr="007844A6">
        <w:t xml:space="preserve">lô </w:t>
      </w:r>
      <w:r w:rsidR="00CD1E3A" w:rsidRPr="007844A6">
        <w:t xml:space="preserve">đất, hoặc </w:t>
      </w:r>
      <w:r w:rsidRPr="007844A6">
        <w:t xml:space="preserve">để </w:t>
      </w:r>
      <w:r w:rsidR="00CD1E3A" w:rsidRPr="007844A6">
        <w:t xml:space="preserve">xây </w:t>
      </w:r>
      <w:r w:rsidRPr="007844A6">
        <w:t xml:space="preserve">mới hay </w:t>
      </w:r>
      <w:r w:rsidR="00CD1E3A" w:rsidRPr="007844A6">
        <w:t xml:space="preserve">mở rộng căn nhà </w:t>
      </w:r>
      <w:r w:rsidR="00471D3F" w:rsidRPr="007844A6">
        <w:t xml:space="preserve">hiện </w:t>
      </w:r>
      <w:r w:rsidR="00C5413C" w:rsidRPr="007844A6">
        <w:t xml:space="preserve">có </w:t>
      </w:r>
      <w:r w:rsidR="00CD1E3A" w:rsidRPr="007844A6">
        <w:t>nếu lô đất đó nhỏ hơn 300 mét vuông. Quy định này vẫn không thay đổi.</w:t>
      </w:r>
    </w:p>
    <w:p w:rsidR="00CD1E3A" w:rsidRPr="007844A6" w:rsidRDefault="00CD1E3A" w:rsidP="00CD1E3A">
      <w:pPr>
        <w:jc w:val="both"/>
      </w:pPr>
      <w:r w:rsidRPr="007844A6">
        <w:t xml:space="preserve">Mọi phát triển mới cần đáp ứng các yêu cầu của ResCode. ResCode được quy định tại Điều 54 hoặc 55 của </w:t>
      </w:r>
      <w:r w:rsidR="00471D3F" w:rsidRPr="007844A6">
        <w:t xml:space="preserve">Chương trình </w:t>
      </w:r>
      <w:bookmarkStart w:id="0" w:name="_GoBack"/>
      <w:bookmarkEnd w:id="0"/>
      <w:r w:rsidR="00471D3F" w:rsidRPr="007844A6">
        <w:t>Quy hoạch</w:t>
      </w:r>
      <w:r w:rsidRPr="007844A6">
        <w:t xml:space="preserve"> và </w:t>
      </w:r>
      <w:r w:rsidR="00471D3F" w:rsidRPr="007844A6">
        <w:t xml:space="preserve">bao gồm </w:t>
      </w:r>
      <w:r w:rsidRPr="007844A6">
        <w:t xml:space="preserve">các yêu cầu về thiết kế đối với việc phát triển mới. Những quy định này áp dụng </w:t>
      </w:r>
      <w:r w:rsidR="006B04DD" w:rsidRPr="007844A6">
        <w:t xml:space="preserve">cho việc xây nhà </w:t>
      </w:r>
      <w:r w:rsidRPr="007844A6">
        <w:t>mới trong một khu dân cư</w:t>
      </w:r>
      <w:r w:rsidR="006B04DD" w:rsidRPr="007844A6">
        <w:t xml:space="preserve"> trên toàn tiểu bang Victoria</w:t>
      </w:r>
      <w:r w:rsidRPr="007844A6">
        <w:t>.</w:t>
      </w:r>
    </w:p>
    <w:p w:rsidR="00CD1E3A" w:rsidRPr="007844A6" w:rsidRDefault="00CD1E3A" w:rsidP="00CD1E3A">
      <w:pPr>
        <w:jc w:val="both"/>
      </w:pPr>
      <w:r w:rsidRPr="007844A6">
        <w:t xml:space="preserve">Những yêu cầu </w:t>
      </w:r>
      <w:r w:rsidR="003D5447" w:rsidRPr="007844A6">
        <w:t xml:space="preserve">này </w:t>
      </w:r>
      <w:r w:rsidRPr="007844A6">
        <w:t xml:space="preserve">liên quan đến chiều cao, </w:t>
      </w:r>
      <w:r w:rsidR="00E05CAA" w:rsidRPr="007844A6">
        <w:t>khoảng trống</w:t>
      </w:r>
      <w:r w:rsidR="00A04087" w:rsidRPr="007844A6">
        <w:t xml:space="preserve"> trước nhà </w:t>
      </w:r>
      <w:r w:rsidRPr="007844A6">
        <w:t>hoặc ranh giới giữa các nhà, cảnh quan, thiết kế, tiện nghi bên trong và tác động lên tiện nghi xung quanh.</w:t>
      </w:r>
    </w:p>
    <w:p w:rsidR="001E6C78" w:rsidRPr="007844A6" w:rsidRDefault="00CD1E3A" w:rsidP="00CD1E3A">
      <w:pPr>
        <w:jc w:val="both"/>
      </w:pPr>
      <w:r w:rsidRPr="007844A6">
        <w:t xml:space="preserve">Phụ lục này đã được dùng để ấn định các yêu cầu thiết kế mới liên quan đến các khu vực </w:t>
      </w:r>
      <w:r w:rsidR="00BE22E0" w:rsidRPr="007844A6">
        <w:t xml:space="preserve">tại </w:t>
      </w:r>
      <w:r w:rsidRPr="007844A6">
        <w:t>địa phương</w:t>
      </w:r>
      <w:r w:rsidR="001E6C78" w:rsidRPr="007844A6">
        <w:t>.</w:t>
      </w:r>
    </w:p>
    <w:p w:rsidR="001E6C78" w:rsidRPr="007844A6" w:rsidRDefault="00803939" w:rsidP="001E6C78">
      <w:pPr>
        <w:jc w:val="both"/>
      </w:pPr>
      <w:r w:rsidRPr="007844A6">
        <w:t>Khu vực Tăng trưởng Dân cư</w:t>
      </w:r>
      <w:r w:rsidR="00CD1E3A" w:rsidRPr="007844A6">
        <w:t xml:space="preserve"> dự kiến có một số Phụ lục áp dụng cho các khu vực khác nhau tại Wyndham</w:t>
      </w:r>
      <w:r w:rsidR="001E6C78" w:rsidRPr="007844A6">
        <w:t>.</w:t>
      </w:r>
    </w:p>
    <w:p w:rsidR="001E6C78" w:rsidRPr="007844A6" w:rsidRDefault="00CD1E3A" w:rsidP="001E6C78">
      <w:pPr>
        <w:jc w:val="both"/>
      </w:pPr>
      <w:r w:rsidRPr="007844A6">
        <w:t>Các Phụ lục đó là</w:t>
      </w:r>
      <w:r w:rsidR="001E6C78" w:rsidRPr="007844A6">
        <w:t>:</w:t>
      </w:r>
    </w:p>
    <w:p w:rsidR="001E6C78" w:rsidRPr="007844A6" w:rsidRDefault="00CD1E3A" w:rsidP="001E6C78">
      <w:pPr>
        <w:pStyle w:val="ListParagraph"/>
        <w:numPr>
          <w:ilvl w:val="0"/>
          <w:numId w:val="4"/>
        </w:numPr>
        <w:ind w:left="360"/>
        <w:jc w:val="both"/>
      </w:pPr>
      <w:r w:rsidRPr="007844A6">
        <w:rPr>
          <w:lang w:val="en-US"/>
        </w:rPr>
        <w:t>Phục l</w:t>
      </w:r>
      <w:r w:rsidR="002A5C6B" w:rsidRPr="007844A6">
        <w:rPr>
          <w:lang w:val="en-US"/>
        </w:rPr>
        <w:t xml:space="preserve">ục 1 </w:t>
      </w:r>
      <w:r w:rsidR="00803939" w:rsidRPr="007844A6">
        <w:rPr>
          <w:lang w:val="en-US"/>
        </w:rPr>
        <w:t>Khu vực Tăng trưởng Dân cư</w:t>
      </w:r>
      <w:r w:rsidRPr="007844A6">
        <w:rPr>
          <w:lang w:val="en-US"/>
        </w:rPr>
        <w:t xml:space="preserve"> </w:t>
      </w:r>
      <w:r w:rsidR="00CE4E8A" w:rsidRPr="007844A6">
        <w:rPr>
          <w:lang w:val="en-US"/>
        </w:rPr>
        <w:t>(</w:t>
      </w:r>
      <w:r w:rsidRPr="007844A6">
        <w:rPr>
          <w:lang w:val="en-US"/>
        </w:rPr>
        <w:t xml:space="preserve">RGZ1) - </w:t>
      </w:r>
      <w:r w:rsidR="00803939" w:rsidRPr="007844A6">
        <w:rPr>
          <w:lang w:val="en-US"/>
        </w:rPr>
        <w:t xml:space="preserve">Khu vực </w:t>
      </w:r>
      <w:r w:rsidRPr="007844A6">
        <w:rPr>
          <w:lang w:val="en-US"/>
        </w:rPr>
        <w:t xml:space="preserve">Thay đổi </w:t>
      </w:r>
      <w:r w:rsidR="00CE4E8A" w:rsidRPr="007844A6">
        <w:rPr>
          <w:lang w:val="en-US"/>
        </w:rPr>
        <w:t>Đ</w:t>
      </w:r>
      <w:r w:rsidRPr="007844A6">
        <w:rPr>
          <w:lang w:val="en-US"/>
        </w:rPr>
        <w:t>áng kể (PPTN</w:t>
      </w:r>
      <w:r w:rsidR="001E6C78" w:rsidRPr="007844A6">
        <w:t xml:space="preserve">) </w:t>
      </w:r>
    </w:p>
    <w:p w:rsidR="001E6C78" w:rsidRPr="007844A6" w:rsidRDefault="00CE4E8A" w:rsidP="001E6C78">
      <w:pPr>
        <w:pStyle w:val="ListParagraph"/>
        <w:numPr>
          <w:ilvl w:val="0"/>
          <w:numId w:val="4"/>
        </w:numPr>
        <w:ind w:left="360"/>
        <w:jc w:val="both"/>
      </w:pPr>
      <w:r w:rsidRPr="007844A6">
        <w:rPr>
          <w:lang w:val="en-US"/>
        </w:rPr>
        <w:t xml:space="preserve">Phục lục 2 </w:t>
      </w:r>
      <w:r w:rsidR="00803939" w:rsidRPr="007844A6">
        <w:rPr>
          <w:lang w:val="en-US"/>
        </w:rPr>
        <w:t>Khu vực Tăng trưởng Dân cư</w:t>
      </w:r>
      <w:r w:rsidR="001E6C78" w:rsidRPr="007844A6">
        <w:t xml:space="preserve"> (RGZ2) – </w:t>
      </w:r>
      <w:r w:rsidR="00803939" w:rsidRPr="007844A6">
        <w:rPr>
          <w:lang w:val="en-US"/>
        </w:rPr>
        <w:t>Khu vực</w:t>
      </w:r>
      <w:r w:rsidR="00803939" w:rsidRPr="007844A6">
        <w:t xml:space="preserve"> </w:t>
      </w:r>
      <w:r w:rsidRPr="007844A6">
        <w:rPr>
          <w:lang w:val="en-US"/>
        </w:rPr>
        <w:t>Thay đổi Đáng kể</w:t>
      </w:r>
      <w:r w:rsidR="00803939" w:rsidRPr="007844A6">
        <w:rPr>
          <w:lang w:val="en-US"/>
        </w:rPr>
        <w:t xml:space="preserve"> </w:t>
      </w:r>
      <w:r w:rsidR="001E6C78" w:rsidRPr="007844A6">
        <w:t xml:space="preserve">– </w:t>
      </w:r>
      <w:r w:rsidR="00803939" w:rsidRPr="007844A6">
        <w:t xml:space="preserve">Gần </w:t>
      </w:r>
      <w:r w:rsidR="00BE22E0" w:rsidRPr="007844A6">
        <w:t xml:space="preserve">Trạm </w:t>
      </w:r>
      <w:r w:rsidR="00803939" w:rsidRPr="007844A6">
        <w:t>Xe lửa</w:t>
      </w:r>
    </w:p>
    <w:p w:rsidR="001E6C78" w:rsidRPr="007844A6" w:rsidRDefault="00F06C56" w:rsidP="001E6C78">
      <w:pPr>
        <w:pStyle w:val="Style1"/>
      </w:pPr>
      <w:r w:rsidRPr="007844A6">
        <w:t>Các Phụ lục yêu cầu những gì</w:t>
      </w:r>
      <w:r w:rsidR="001E6C78" w:rsidRPr="007844A6">
        <w:t>?</w:t>
      </w:r>
    </w:p>
    <w:p w:rsidR="001E6C78" w:rsidRPr="007844A6" w:rsidRDefault="00484CBB" w:rsidP="001E6C78">
      <w:pPr>
        <w:jc w:val="both"/>
      </w:pPr>
      <w:r w:rsidRPr="007844A6">
        <w:rPr>
          <w:rFonts w:cs="Times New Roman"/>
        </w:rPr>
        <w:t xml:space="preserve">Các Phụ lục </w:t>
      </w:r>
      <w:r w:rsidR="00BE22E0" w:rsidRPr="007844A6">
        <w:rPr>
          <w:rFonts w:cs="Times New Roman"/>
        </w:rPr>
        <w:t xml:space="preserve">quy định </w:t>
      </w:r>
      <w:r w:rsidRPr="007844A6">
        <w:rPr>
          <w:rFonts w:cs="Times New Roman"/>
        </w:rPr>
        <w:t xml:space="preserve">những thay đổi </w:t>
      </w:r>
      <w:r w:rsidR="00BE22E0" w:rsidRPr="007844A6">
        <w:rPr>
          <w:rFonts w:cs="Times New Roman"/>
        </w:rPr>
        <w:t xml:space="preserve">về </w:t>
      </w:r>
      <w:r w:rsidRPr="007844A6">
        <w:rPr>
          <w:rFonts w:cs="Times New Roman"/>
        </w:rPr>
        <w:t xml:space="preserve">thiết kế sau </w:t>
      </w:r>
      <w:r w:rsidR="00BE22E0" w:rsidRPr="007844A6">
        <w:rPr>
          <w:rFonts w:cs="Times New Roman"/>
        </w:rPr>
        <w:t>khi xây nhà mới</w:t>
      </w:r>
      <w:r w:rsidRPr="007844A6">
        <w:rPr>
          <w:rFonts w:cs="Times New Roman"/>
        </w:rPr>
        <w:t>:</w:t>
      </w:r>
    </w:p>
    <w:tbl>
      <w:tblPr>
        <w:tblStyle w:val="LightList-Accent1"/>
        <w:tblW w:w="0" w:type="auto"/>
        <w:tblBorders>
          <w:top w:val="single" w:sz="8" w:space="0" w:color="00B0F0"/>
          <w:left w:val="single" w:sz="8" w:space="0" w:color="00B0F0"/>
          <w:bottom w:val="single" w:sz="8" w:space="0" w:color="00B0F0"/>
          <w:right w:val="single" w:sz="8" w:space="0" w:color="00B0F0"/>
          <w:insideH w:val="single" w:sz="6" w:space="0" w:color="00B0F0"/>
          <w:insideV w:val="single" w:sz="6" w:space="0" w:color="00B0F0"/>
        </w:tblBorders>
        <w:tblLook w:val="04A0" w:firstRow="1" w:lastRow="0" w:firstColumn="1" w:lastColumn="0" w:noHBand="0" w:noVBand="1"/>
      </w:tblPr>
      <w:tblGrid>
        <w:gridCol w:w="3080"/>
        <w:gridCol w:w="3081"/>
        <w:gridCol w:w="3081"/>
      </w:tblGrid>
      <w:tr w:rsidR="001E6C78" w:rsidRPr="007844A6" w:rsidTr="00B11970">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080" w:type="dxa"/>
            <w:shd w:val="clear" w:color="auto" w:fill="00B0F0"/>
            <w:vAlign w:val="center"/>
          </w:tcPr>
          <w:p w:rsidR="001E6C78" w:rsidRPr="007844A6" w:rsidRDefault="00A76F94" w:rsidP="00E81A07">
            <w:r w:rsidRPr="007844A6">
              <w:t>Yêu cầu ResCode hiện tại</w:t>
            </w:r>
          </w:p>
        </w:tc>
        <w:tc>
          <w:tcPr>
            <w:tcW w:w="3081" w:type="dxa"/>
            <w:shd w:val="clear" w:color="auto" w:fill="00B0F0"/>
            <w:vAlign w:val="center"/>
          </w:tcPr>
          <w:p w:rsidR="001E6C78" w:rsidRPr="007844A6" w:rsidRDefault="00A76F94" w:rsidP="00E81A07">
            <w:pPr>
              <w:cnfStyle w:val="100000000000" w:firstRow="1" w:lastRow="0" w:firstColumn="0" w:lastColumn="0" w:oddVBand="0" w:evenVBand="0" w:oddHBand="0" w:evenHBand="0" w:firstRowFirstColumn="0" w:firstRowLastColumn="0" w:lastRowFirstColumn="0" w:lastRowLastColumn="0"/>
            </w:pPr>
            <w:r w:rsidRPr="007844A6">
              <w:t>Yêu cầu đề xuất RGZ1</w:t>
            </w:r>
          </w:p>
        </w:tc>
        <w:tc>
          <w:tcPr>
            <w:tcW w:w="3081" w:type="dxa"/>
            <w:shd w:val="clear" w:color="auto" w:fill="00B0F0"/>
            <w:vAlign w:val="center"/>
          </w:tcPr>
          <w:p w:rsidR="001E6C78" w:rsidRPr="007844A6" w:rsidRDefault="00A76F94" w:rsidP="00E81A07">
            <w:pPr>
              <w:cnfStyle w:val="100000000000" w:firstRow="1" w:lastRow="0" w:firstColumn="0" w:lastColumn="0" w:oddVBand="0" w:evenVBand="0" w:oddHBand="0" w:evenHBand="0" w:firstRowFirstColumn="0" w:firstRowLastColumn="0" w:lastRowFirstColumn="0" w:lastRowLastColumn="0"/>
            </w:pPr>
            <w:r w:rsidRPr="007844A6">
              <w:t>Yêu cầu đề xuất RGZ2</w:t>
            </w:r>
          </w:p>
        </w:tc>
      </w:tr>
      <w:tr w:rsidR="00C20E3D" w:rsidRPr="007844A6" w:rsidTr="00B11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C20E3D" w:rsidRPr="007844A6" w:rsidRDefault="00E05CAA" w:rsidP="00A04087">
            <w:pPr>
              <w:rPr>
                <w:b w:val="0"/>
              </w:rPr>
            </w:pPr>
            <w:r w:rsidRPr="007844A6">
              <w:t>Khoảng trống</w:t>
            </w:r>
            <w:r w:rsidR="00A04087" w:rsidRPr="007844A6">
              <w:t xml:space="preserve"> trước nhà</w:t>
            </w:r>
            <w:r w:rsidR="00C20E3D" w:rsidRPr="007844A6">
              <w:rPr>
                <w:b w:val="0"/>
              </w:rPr>
              <w:t xml:space="preserve"> là khoảng cách trung bình của hai nhà liền kề nhau, hoặc 4 mét nếu không có nhà liền kề (6 mét trên trục đường chính) </w:t>
            </w:r>
          </w:p>
        </w:tc>
        <w:tc>
          <w:tcPr>
            <w:tcW w:w="3081" w:type="dxa"/>
            <w:tcBorders>
              <w:top w:val="none" w:sz="0" w:space="0" w:color="auto"/>
              <w:bottom w:val="none" w:sz="0" w:space="0" w:color="auto"/>
            </w:tcBorders>
          </w:tcPr>
          <w:p w:rsidR="00C20E3D" w:rsidRPr="007844A6" w:rsidRDefault="00C20E3D" w:rsidP="00D5641F">
            <w:pPr>
              <w:cnfStyle w:val="000000100000" w:firstRow="0" w:lastRow="0" w:firstColumn="0" w:lastColumn="0" w:oddVBand="0" w:evenVBand="0" w:oddHBand="1" w:evenHBand="0" w:firstRowFirstColumn="0" w:firstRowLastColumn="0" w:lastRowFirstColumn="0" w:lastRowLastColumn="0"/>
            </w:pPr>
            <w:r w:rsidRPr="007844A6">
              <w:t xml:space="preserve">Tối thiểu 3 mét (trừ trường hợp </w:t>
            </w:r>
            <w:r w:rsidR="00B66AA7" w:rsidRPr="007844A6">
              <w:t xml:space="preserve">không có chỗ </w:t>
            </w:r>
            <w:r w:rsidRPr="007844A6">
              <w:t xml:space="preserve">đậu xe) tính từ ranh giới phía trước </w:t>
            </w:r>
            <w:r w:rsidR="00D5641F" w:rsidRPr="007844A6">
              <w:t xml:space="preserve">nhà </w:t>
            </w:r>
            <w:r w:rsidRPr="007844A6">
              <w:t>tới bức tường phía trước của ngôi nhà</w:t>
            </w:r>
          </w:p>
        </w:tc>
        <w:tc>
          <w:tcPr>
            <w:tcW w:w="3081" w:type="dxa"/>
            <w:tcBorders>
              <w:top w:val="none" w:sz="0" w:space="0" w:color="auto"/>
              <w:bottom w:val="none" w:sz="0" w:space="0" w:color="auto"/>
              <w:right w:val="none" w:sz="0" w:space="0" w:color="auto"/>
            </w:tcBorders>
          </w:tcPr>
          <w:p w:rsidR="00C20E3D" w:rsidRPr="007844A6" w:rsidRDefault="00C20E3D" w:rsidP="00B668F3">
            <w:pPr>
              <w:cnfStyle w:val="000000100000" w:firstRow="0" w:lastRow="0" w:firstColumn="0" w:lastColumn="0" w:oddVBand="0" w:evenVBand="0" w:oddHBand="1" w:evenHBand="0" w:firstRowFirstColumn="0" w:firstRowLastColumn="0" w:lastRowFirstColumn="0" w:lastRowLastColumn="0"/>
            </w:pPr>
            <w:r w:rsidRPr="007844A6">
              <w:t>Không thay đổi</w:t>
            </w:r>
          </w:p>
        </w:tc>
      </w:tr>
      <w:tr w:rsidR="00C20E3D" w:rsidRPr="007844A6" w:rsidTr="00B11970">
        <w:tc>
          <w:tcPr>
            <w:cnfStyle w:val="001000000000" w:firstRow="0" w:lastRow="0" w:firstColumn="1" w:lastColumn="0" w:oddVBand="0" w:evenVBand="0" w:oddHBand="0" w:evenHBand="0" w:firstRowFirstColumn="0" w:firstRowLastColumn="0" w:lastRowFirstColumn="0" w:lastRowLastColumn="0"/>
            <w:tcW w:w="3080" w:type="dxa"/>
          </w:tcPr>
          <w:p w:rsidR="00C20E3D" w:rsidRPr="007844A6" w:rsidRDefault="00C20E3D" w:rsidP="00B668F3">
            <w:pPr>
              <w:rPr>
                <w:b w:val="0"/>
              </w:rPr>
            </w:pPr>
            <w:r w:rsidRPr="007844A6">
              <w:rPr>
                <w:rStyle w:val="m3468431549952277636s1"/>
                <w:rFonts w:cs="Times New Roman"/>
                <w:color w:val="222222"/>
                <w:sz w:val="24"/>
                <w:szCs w:val="24"/>
              </w:rPr>
              <w:t>Diện tích xây dựng</w:t>
            </w:r>
            <w:r w:rsidRPr="007844A6">
              <w:t xml:space="preserve">: </w:t>
            </w:r>
            <w:r w:rsidRPr="007844A6">
              <w:rPr>
                <w:b w:val="0"/>
              </w:rPr>
              <w:t>tối đa 60% khu đất</w:t>
            </w:r>
          </w:p>
        </w:tc>
        <w:tc>
          <w:tcPr>
            <w:tcW w:w="3081" w:type="dxa"/>
          </w:tcPr>
          <w:p w:rsidR="00C20E3D" w:rsidRPr="007844A6" w:rsidRDefault="00C20E3D" w:rsidP="00B668F3">
            <w:pPr>
              <w:cnfStyle w:val="000000000000" w:firstRow="0" w:lastRow="0" w:firstColumn="0" w:lastColumn="0" w:oddVBand="0" w:evenVBand="0" w:oddHBand="0" w:evenHBand="0" w:firstRowFirstColumn="0" w:firstRowLastColumn="0" w:lastRowFirstColumn="0" w:lastRowLastColumn="0"/>
            </w:pPr>
            <w:r w:rsidRPr="007844A6">
              <w:t>Tối đa 70%</w:t>
            </w:r>
          </w:p>
        </w:tc>
        <w:tc>
          <w:tcPr>
            <w:tcW w:w="3081" w:type="dxa"/>
          </w:tcPr>
          <w:p w:rsidR="00C20E3D" w:rsidRPr="007844A6" w:rsidRDefault="00C20E3D" w:rsidP="00B668F3">
            <w:pPr>
              <w:cnfStyle w:val="000000000000" w:firstRow="0" w:lastRow="0" w:firstColumn="0" w:lastColumn="0" w:oddVBand="0" w:evenVBand="0" w:oddHBand="0" w:evenHBand="0" w:firstRowFirstColumn="0" w:firstRowLastColumn="0" w:lastRowFirstColumn="0" w:lastRowLastColumn="0"/>
            </w:pPr>
            <w:r w:rsidRPr="007844A6">
              <w:t>Tối đa 80%</w:t>
            </w:r>
          </w:p>
        </w:tc>
      </w:tr>
      <w:tr w:rsidR="00C20E3D" w:rsidRPr="007844A6" w:rsidTr="00B11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C20E3D" w:rsidRPr="007844A6" w:rsidRDefault="00C20E3D" w:rsidP="00B668F3">
            <w:pPr>
              <w:rPr>
                <w:b w:val="0"/>
              </w:rPr>
            </w:pPr>
            <w:r w:rsidRPr="007844A6">
              <w:t>Diện tích đất để trống:</w:t>
            </w:r>
            <w:r w:rsidRPr="007844A6">
              <w:rPr>
                <w:rStyle w:val="m3468431549952277636s1"/>
                <w:rFonts w:cs="Times New Roman"/>
                <w:b w:val="0"/>
                <w:color w:val="222222"/>
                <w:sz w:val="24"/>
                <w:szCs w:val="24"/>
              </w:rPr>
              <w:t xml:space="preserve"> tối </w:t>
            </w:r>
            <w:r w:rsidRPr="007844A6">
              <w:rPr>
                <w:rStyle w:val="m3468431549952277636s1"/>
                <w:rFonts w:cs="Times New Roman"/>
                <w:b w:val="0"/>
                <w:color w:val="222222"/>
                <w:sz w:val="24"/>
                <w:szCs w:val="24"/>
              </w:rPr>
              <w:lastRenderedPageBreak/>
              <w:t>thiểu 20% diện tích khu đất</w:t>
            </w:r>
          </w:p>
        </w:tc>
        <w:tc>
          <w:tcPr>
            <w:tcW w:w="3081" w:type="dxa"/>
            <w:tcBorders>
              <w:top w:val="none" w:sz="0" w:space="0" w:color="auto"/>
              <w:bottom w:val="none" w:sz="0" w:space="0" w:color="auto"/>
            </w:tcBorders>
          </w:tcPr>
          <w:p w:rsidR="00C20E3D" w:rsidRPr="007844A6" w:rsidRDefault="00C20E3D" w:rsidP="00B668F3">
            <w:pPr>
              <w:cnfStyle w:val="000000100000" w:firstRow="0" w:lastRow="0" w:firstColumn="0" w:lastColumn="0" w:oddVBand="0" w:evenVBand="0" w:oddHBand="1" w:evenHBand="0" w:firstRowFirstColumn="0" w:firstRowLastColumn="0" w:lastRowFirstColumn="0" w:lastRowLastColumn="0"/>
            </w:pPr>
            <w:r w:rsidRPr="007844A6">
              <w:lastRenderedPageBreak/>
              <w:t>Không thay đổi</w:t>
            </w:r>
          </w:p>
        </w:tc>
        <w:tc>
          <w:tcPr>
            <w:tcW w:w="3081" w:type="dxa"/>
            <w:tcBorders>
              <w:top w:val="none" w:sz="0" w:space="0" w:color="auto"/>
              <w:bottom w:val="none" w:sz="0" w:space="0" w:color="auto"/>
              <w:right w:val="none" w:sz="0" w:space="0" w:color="auto"/>
            </w:tcBorders>
          </w:tcPr>
          <w:p w:rsidR="00C20E3D" w:rsidRPr="007844A6" w:rsidRDefault="00C20E3D" w:rsidP="00B668F3">
            <w:pPr>
              <w:cnfStyle w:val="000000100000" w:firstRow="0" w:lastRow="0" w:firstColumn="0" w:lastColumn="0" w:oddVBand="0" w:evenVBand="0" w:oddHBand="1" w:evenHBand="0" w:firstRowFirstColumn="0" w:firstRowLastColumn="0" w:lastRowFirstColumn="0" w:lastRowLastColumn="0"/>
            </w:pPr>
            <w:r w:rsidRPr="007844A6">
              <w:t>Tối thiểu 10%</w:t>
            </w:r>
          </w:p>
        </w:tc>
      </w:tr>
      <w:tr w:rsidR="00C20E3D" w:rsidRPr="007844A6" w:rsidTr="00B11970">
        <w:trPr>
          <w:cantSplit/>
        </w:trPr>
        <w:tc>
          <w:tcPr>
            <w:cnfStyle w:val="001000000000" w:firstRow="0" w:lastRow="0" w:firstColumn="1" w:lastColumn="0" w:oddVBand="0" w:evenVBand="0" w:oddHBand="0" w:evenHBand="0" w:firstRowFirstColumn="0" w:firstRowLastColumn="0" w:lastRowFirstColumn="0" w:lastRowLastColumn="0"/>
            <w:tcW w:w="3080" w:type="dxa"/>
          </w:tcPr>
          <w:p w:rsidR="00C20E3D" w:rsidRPr="007844A6" w:rsidRDefault="00C20E3D" w:rsidP="00A04087">
            <w:pPr>
              <w:rPr>
                <w:b w:val="0"/>
              </w:rPr>
            </w:pPr>
            <w:r w:rsidRPr="007844A6">
              <w:rPr>
                <w:rStyle w:val="m3468431549952277636s1"/>
                <w:rFonts w:cs="Times New Roman"/>
                <w:color w:val="222222"/>
                <w:sz w:val="24"/>
                <w:szCs w:val="24"/>
              </w:rPr>
              <w:t>Cảnh quan</w:t>
            </w:r>
            <w:r w:rsidRPr="007844A6">
              <w:t xml:space="preserve">: </w:t>
            </w:r>
            <w:r w:rsidRPr="007844A6">
              <w:rPr>
                <w:rStyle w:val="m3468431549952277636s1"/>
                <w:rFonts w:cs="Times New Roman"/>
                <w:b w:val="0"/>
                <w:color w:val="222222"/>
                <w:sz w:val="24"/>
                <w:szCs w:val="24"/>
              </w:rPr>
              <w:t xml:space="preserve">tạo cảnh quan, giữ lại tối đa cây xanh hoặc thay thế những cây quan trọng bị dỡ bỏ trong 12 tháng </w:t>
            </w:r>
            <w:r w:rsidR="00A04087" w:rsidRPr="007844A6">
              <w:rPr>
                <w:rStyle w:val="m3468431549952277636s1"/>
                <w:rFonts w:cs="Times New Roman"/>
                <w:b w:val="0"/>
                <w:color w:val="222222"/>
                <w:sz w:val="24"/>
                <w:szCs w:val="24"/>
              </w:rPr>
              <w:t>trước đó</w:t>
            </w:r>
            <w:r w:rsidRPr="007844A6">
              <w:rPr>
                <w:rStyle w:val="m3468431549952277636s1"/>
                <w:rFonts w:cs="Times New Roman"/>
                <w:b w:val="0"/>
                <w:color w:val="222222"/>
                <w:sz w:val="24"/>
                <w:szCs w:val="24"/>
              </w:rPr>
              <w:t>.</w:t>
            </w:r>
          </w:p>
        </w:tc>
        <w:tc>
          <w:tcPr>
            <w:tcW w:w="3081" w:type="dxa"/>
          </w:tcPr>
          <w:p w:rsidR="00C20E3D" w:rsidRPr="007844A6" w:rsidRDefault="00C20E3D" w:rsidP="00A04087">
            <w:pPr>
              <w:cnfStyle w:val="000000000000" w:firstRow="0" w:lastRow="0" w:firstColumn="0" w:lastColumn="0" w:oddVBand="0" w:evenVBand="0" w:oddHBand="0" w:evenHBand="0" w:firstRowFirstColumn="0" w:firstRowLastColumn="0" w:lastRowFirstColumn="0" w:lastRowLastColumn="0"/>
            </w:pPr>
            <w:r w:rsidRPr="007844A6">
              <w:t>Tối thiểu một cây bán trưởng thành có tán phủ</w:t>
            </w:r>
            <w:r w:rsidR="00A04087" w:rsidRPr="007844A6">
              <w:t>,</w:t>
            </w:r>
            <w:r w:rsidRPr="007844A6">
              <w:t xml:space="preserve"> với chiều cao </w:t>
            </w:r>
            <w:r w:rsidR="00A04087" w:rsidRPr="007844A6">
              <w:t xml:space="preserve">tối thiểu </w:t>
            </w:r>
            <w:r w:rsidRPr="007844A6">
              <w:t xml:space="preserve">khi trưởng thành là 8 mét ở trong </w:t>
            </w:r>
            <w:r w:rsidR="00E05CAA" w:rsidRPr="007844A6">
              <w:t>khoảng trống</w:t>
            </w:r>
            <w:r w:rsidRPr="007844A6">
              <w:t xml:space="preserve"> phía trước.</w:t>
            </w:r>
          </w:p>
        </w:tc>
        <w:tc>
          <w:tcPr>
            <w:tcW w:w="3081" w:type="dxa"/>
          </w:tcPr>
          <w:p w:rsidR="00C20E3D" w:rsidRPr="007844A6" w:rsidRDefault="00C20E3D" w:rsidP="00B668F3">
            <w:pPr>
              <w:cnfStyle w:val="000000000000" w:firstRow="0" w:lastRow="0" w:firstColumn="0" w:lastColumn="0" w:oddVBand="0" w:evenVBand="0" w:oddHBand="0" w:evenHBand="0" w:firstRowFirstColumn="0" w:firstRowLastColumn="0" w:lastRowFirstColumn="0" w:lastRowLastColumn="0"/>
            </w:pPr>
          </w:p>
        </w:tc>
      </w:tr>
      <w:tr w:rsidR="00C20E3D" w:rsidRPr="007844A6" w:rsidTr="00B11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C20E3D" w:rsidRPr="007844A6" w:rsidRDefault="00E05CAA" w:rsidP="00B668F3">
            <w:pPr>
              <w:rPr>
                <w:b w:val="0"/>
              </w:rPr>
            </w:pPr>
            <w:r w:rsidRPr="007844A6">
              <w:rPr>
                <w:rStyle w:val="m3468431549952277636s1"/>
                <w:rFonts w:cs="Times New Roman"/>
                <w:color w:val="222222"/>
                <w:sz w:val="24"/>
                <w:szCs w:val="24"/>
              </w:rPr>
              <w:t>Khoảng trống</w:t>
            </w:r>
            <w:r w:rsidR="00C20E3D" w:rsidRPr="007844A6">
              <w:rPr>
                <w:rStyle w:val="m3468431549952277636s1"/>
                <w:rFonts w:cs="Times New Roman"/>
                <w:color w:val="222222"/>
                <w:sz w:val="24"/>
                <w:szCs w:val="24"/>
              </w:rPr>
              <w:t xml:space="preserve"> bên hông và phía sau khu đất</w:t>
            </w:r>
            <w:r w:rsidR="00C20E3D" w:rsidRPr="007844A6">
              <w:t xml:space="preserve">: </w:t>
            </w:r>
            <w:r w:rsidR="00C20E3D" w:rsidRPr="007844A6">
              <w:rPr>
                <w:rStyle w:val="m3468431549952277636s1"/>
                <w:rFonts w:cs="Times New Roman"/>
                <w:b w:val="0"/>
                <w:color w:val="222222"/>
                <w:sz w:val="24"/>
                <w:szCs w:val="24"/>
              </w:rPr>
              <w:t>1m và cộng thêm 0,3 mét cho mỗi mét chiều cao từ 3,6 mét đến 6,9 mét, và 1 mét cho mỗi mét chiều cao trên 6,9 mét</w:t>
            </w:r>
          </w:p>
        </w:tc>
        <w:tc>
          <w:tcPr>
            <w:tcW w:w="3081" w:type="dxa"/>
            <w:tcBorders>
              <w:top w:val="none" w:sz="0" w:space="0" w:color="auto"/>
              <w:bottom w:val="none" w:sz="0" w:space="0" w:color="auto"/>
            </w:tcBorders>
          </w:tcPr>
          <w:p w:rsidR="00C20E3D" w:rsidRPr="007844A6" w:rsidRDefault="00C20E3D" w:rsidP="00B668F3">
            <w:pPr>
              <w:cnfStyle w:val="000000100000" w:firstRow="0" w:lastRow="0" w:firstColumn="0" w:lastColumn="0" w:oddVBand="0" w:evenVBand="0" w:oddHBand="1" w:evenHBand="0" w:firstRowFirstColumn="0" w:firstRowLastColumn="0" w:lastRowFirstColumn="0" w:lastRowLastColumn="0"/>
            </w:pPr>
            <w:r w:rsidRPr="007844A6">
              <w:t>Không thay đổi</w:t>
            </w:r>
          </w:p>
        </w:tc>
        <w:tc>
          <w:tcPr>
            <w:tcW w:w="3081" w:type="dxa"/>
            <w:tcBorders>
              <w:top w:val="none" w:sz="0" w:space="0" w:color="auto"/>
              <w:bottom w:val="none" w:sz="0" w:space="0" w:color="auto"/>
              <w:right w:val="none" w:sz="0" w:space="0" w:color="auto"/>
            </w:tcBorders>
          </w:tcPr>
          <w:p w:rsidR="00C20E3D" w:rsidRPr="007844A6" w:rsidRDefault="00C20E3D" w:rsidP="00B668F3">
            <w:pPr>
              <w:cnfStyle w:val="000000100000" w:firstRow="0" w:lastRow="0" w:firstColumn="0" w:lastColumn="0" w:oddVBand="0" w:evenVBand="0" w:oddHBand="1" w:evenHBand="0" w:firstRowFirstColumn="0" w:firstRowLastColumn="0" w:lastRowFirstColumn="0" w:lastRowLastColumn="0"/>
            </w:pPr>
            <w:r w:rsidRPr="007844A6">
              <w:t>Không thay đổi</w:t>
            </w:r>
          </w:p>
        </w:tc>
      </w:tr>
      <w:tr w:rsidR="00C20E3D" w:rsidRPr="007844A6" w:rsidTr="00B11970">
        <w:tc>
          <w:tcPr>
            <w:cnfStyle w:val="001000000000" w:firstRow="0" w:lastRow="0" w:firstColumn="1" w:lastColumn="0" w:oddVBand="0" w:evenVBand="0" w:oddHBand="0" w:evenHBand="0" w:firstRowFirstColumn="0" w:firstRowLastColumn="0" w:lastRowFirstColumn="0" w:lastRowLastColumn="0"/>
            <w:tcW w:w="3080" w:type="dxa"/>
          </w:tcPr>
          <w:p w:rsidR="00C20E3D" w:rsidRPr="007844A6" w:rsidRDefault="00C20E3D" w:rsidP="00B668F3">
            <w:pPr>
              <w:rPr>
                <w:b w:val="0"/>
              </w:rPr>
            </w:pPr>
            <w:r w:rsidRPr="007844A6">
              <w:t xml:space="preserve">Tường ranh giới: </w:t>
            </w:r>
            <w:r w:rsidRPr="007844A6">
              <w:rPr>
                <w:b w:val="0"/>
              </w:rPr>
              <w:t>Dài 10 mét cộng với 25% phần ranh giới còn lại của khu đất hoặc, nếu cùng xây dựng một lúc, không cao hơn 3,6 m</w:t>
            </w:r>
            <w:r w:rsidRPr="007844A6">
              <w:rPr>
                <w:rStyle w:val="m3468431549952277636s1"/>
                <w:rFonts w:cs="Times New Roman"/>
                <w:b w:val="0"/>
                <w:color w:val="222222"/>
                <w:sz w:val="24"/>
                <w:szCs w:val="24"/>
              </w:rPr>
              <w:t>ét</w:t>
            </w:r>
            <w:r w:rsidRPr="007844A6">
              <w:rPr>
                <w:b w:val="0"/>
              </w:rPr>
              <w:t xml:space="preserve"> hoặc trung bình là 3,2 m</w:t>
            </w:r>
            <w:r w:rsidRPr="007844A6">
              <w:rPr>
                <w:rStyle w:val="m3468431549952277636s1"/>
                <w:rFonts w:cs="Times New Roman"/>
                <w:b w:val="0"/>
                <w:color w:val="222222"/>
                <w:sz w:val="24"/>
                <w:szCs w:val="24"/>
              </w:rPr>
              <w:t>ét</w:t>
            </w:r>
          </w:p>
        </w:tc>
        <w:tc>
          <w:tcPr>
            <w:tcW w:w="3081" w:type="dxa"/>
          </w:tcPr>
          <w:p w:rsidR="00C20E3D" w:rsidRPr="007844A6" w:rsidRDefault="00C20E3D" w:rsidP="00B668F3">
            <w:pPr>
              <w:cnfStyle w:val="000000000000" w:firstRow="0" w:lastRow="0" w:firstColumn="0" w:lastColumn="0" w:oddVBand="0" w:evenVBand="0" w:oddHBand="0" w:evenHBand="0" w:firstRowFirstColumn="0" w:firstRowLastColumn="0" w:lastRowFirstColumn="0" w:lastRowLastColumn="0"/>
            </w:pPr>
            <w:r w:rsidRPr="007844A6">
              <w:t>Không thay đổi</w:t>
            </w:r>
          </w:p>
        </w:tc>
        <w:tc>
          <w:tcPr>
            <w:tcW w:w="3081" w:type="dxa"/>
          </w:tcPr>
          <w:p w:rsidR="00C20E3D" w:rsidRPr="007844A6" w:rsidRDefault="00C20E3D" w:rsidP="00B668F3">
            <w:pPr>
              <w:cnfStyle w:val="000000000000" w:firstRow="0" w:lastRow="0" w:firstColumn="0" w:lastColumn="0" w:oddVBand="0" w:evenVBand="0" w:oddHBand="0" w:evenHBand="0" w:firstRowFirstColumn="0" w:firstRowLastColumn="0" w:lastRowFirstColumn="0" w:lastRowLastColumn="0"/>
            </w:pPr>
            <w:r w:rsidRPr="007844A6">
              <w:t>Không thay đổi</w:t>
            </w:r>
          </w:p>
        </w:tc>
      </w:tr>
      <w:tr w:rsidR="00C20E3D" w:rsidRPr="007844A6" w:rsidTr="00B11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C20E3D" w:rsidRPr="007844A6" w:rsidRDefault="00297B34" w:rsidP="00B668F3">
            <w:pPr>
              <w:rPr>
                <w:rStyle w:val="m3468431549952277636s1"/>
                <w:rFonts w:cs="Times New Roman"/>
                <w:b w:val="0"/>
                <w:color w:val="222222"/>
                <w:sz w:val="24"/>
                <w:szCs w:val="24"/>
              </w:rPr>
            </w:pPr>
            <w:r w:rsidRPr="007844A6">
              <w:t xml:space="preserve">Nơi lộ thiên </w:t>
            </w:r>
            <w:r w:rsidR="00C20E3D" w:rsidRPr="007844A6">
              <w:t xml:space="preserve">cá nhân: </w:t>
            </w:r>
            <w:r w:rsidR="00C20E3D" w:rsidRPr="007844A6">
              <w:rPr>
                <w:b w:val="0"/>
              </w:rPr>
              <w:t>M</w:t>
            </w:r>
            <w:r w:rsidR="00C20E3D" w:rsidRPr="007844A6">
              <w:rPr>
                <w:rStyle w:val="m3468431549952277636s1"/>
                <w:rFonts w:cs="Times New Roman"/>
                <w:b w:val="0"/>
                <w:color w:val="222222"/>
                <w:sz w:val="24"/>
                <w:szCs w:val="24"/>
              </w:rPr>
              <w:t xml:space="preserve">ột diện tích 40 mét vuông, một phần trong đó là </w:t>
            </w:r>
            <w:r w:rsidRPr="007844A6">
              <w:rPr>
                <w:rStyle w:val="m3468431549952277636s1"/>
                <w:rFonts w:cs="Times New Roman"/>
                <w:b w:val="0"/>
                <w:color w:val="222222"/>
                <w:sz w:val="24"/>
                <w:szCs w:val="24"/>
              </w:rPr>
              <w:t>nơi lộ thiên</w:t>
            </w:r>
            <w:r w:rsidR="00C20E3D" w:rsidRPr="007844A6">
              <w:rPr>
                <w:rStyle w:val="m3468431549952277636s1"/>
                <w:rFonts w:cs="Times New Roman"/>
                <w:b w:val="0"/>
                <w:color w:val="222222"/>
                <w:sz w:val="24"/>
                <w:szCs w:val="24"/>
              </w:rPr>
              <w:t xml:space="preserve"> cá nhân tách biệt với diện tích tối thiểu 25 mét vuông và kích thước tối thiểu 3 mét. </w:t>
            </w:r>
          </w:p>
          <w:p w:rsidR="00C20E3D" w:rsidRPr="007844A6" w:rsidRDefault="00297B34" w:rsidP="00B668F3">
            <w:pPr>
              <w:rPr>
                <w:b w:val="0"/>
              </w:rPr>
            </w:pPr>
            <w:r w:rsidRPr="007844A6">
              <w:rPr>
                <w:rStyle w:val="m3468431549952277636s1"/>
                <w:rFonts w:cs="Times New Roman"/>
                <w:b w:val="0"/>
                <w:color w:val="222222"/>
                <w:sz w:val="24"/>
                <w:szCs w:val="24"/>
              </w:rPr>
              <w:t>Nơi lộ thiên</w:t>
            </w:r>
            <w:r w:rsidR="00C20E3D" w:rsidRPr="007844A6">
              <w:rPr>
                <w:rStyle w:val="m3468431549952277636s1"/>
                <w:rFonts w:cs="Times New Roman"/>
                <w:b w:val="0"/>
                <w:color w:val="222222"/>
                <w:sz w:val="24"/>
                <w:szCs w:val="24"/>
              </w:rPr>
              <w:t xml:space="preserve"> cá nhân tách biệt không được đặt ở khoảng trống trước nhà và phải có lối đi lại thuận tiện từ phòng khách, hoặc lan can 8 mét vuông với chiều rộng tối thiểu 1,6 mét, hoặc diện tích trần nhà 10m² với chiều rộng tối thiểu 2 mét.</w:t>
            </w:r>
          </w:p>
        </w:tc>
        <w:tc>
          <w:tcPr>
            <w:tcW w:w="3081" w:type="dxa"/>
            <w:tcBorders>
              <w:top w:val="none" w:sz="0" w:space="0" w:color="auto"/>
              <w:bottom w:val="none" w:sz="0" w:space="0" w:color="auto"/>
            </w:tcBorders>
          </w:tcPr>
          <w:p w:rsidR="00C20E3D" w:rsidRPr="007844A6" w:rsidRDefault="00C20E3D" w:rsidP="00B668F3">
            <w:pPr>
              <w:cnfStyle w:val="000000100000" w:firstRow="0" w:lastRow="0" w:firstColumn="0" w:lastColumn="0" w:oddVBand="0" w:evenVBand="0" w:oddHBand="1" w:evenHBand="0" w:firstRowFirstColumn="0" w:firstRowLastColumn="0" w:lastRowFirstColumn="0" w:lastRowLastColumn="0"/>
            </w:pPr>
            <w:r w:rsidRPr="007844A6">
              <w:t xml:space="preserve">Một diện tích 25 mét vuông, với một kích thước tối thiểu của 3 mét và </w:t>
            </w:r>
            <w:r w:rsidR="00E05CAA" w:rsidRPr="007844A6">
              <w:t xml:space="preserve">đi lại </w:t>
            </w:r>
            <w:r w:rsidRPr="007844A6">
              <w:t>thuận tiện từ phòng khách; hoặ</w:t>
            </w:r>
            <w:r w:rsidR="00E05CAA" w:rsidRPr="007844A6">
              <w:t>c</w:t>
            </w:r>
          </w:p>
          <w:p w:rsidR="00C20E3D" w:rsidRPr="007844A6" w:rsidRDefault="00C20E3D" w:rsidP="00E05CAA">
            <w:pPr>
              <w:cnfStyle w:val="000000100000" w:firstRow="0" w:lastRow="0" w:firstColumn="0" w:lastColumn="0" w:oddVBand="0" w:evenVBand="0" w:oddHBand="1" w:evenHBand="0" w:firstRowFirstColumn="0" w:firstRowLastColumn="0" w:lastRowFirstColumn="0" w:lastRowLastColumn="0"/>
            </w:pPr>
            <w:r w:rsidRPr="007844A6">
              <w:t xml:space="preserve">Một ban công 8 mét vuông </w:t>
            </w:r>
            <w:r w:rsidR="00E05CAA" w:rsidRPr="007844A6">
              <w:t xml:space="preserve">với </w:t>
            </w:r>
            <w:r w:rsidRPr="007844A6">
              <w:t xml:space="preserve">chiều rộng tối thiểu 1,6 mét và </w:t>
            </w:r>
            <w:r w:rsidR="00E05CAA" w:rsidRPr="007844A6">
              <w:t xml:space="preserve">đi lại </w:t>
            </w:r>
            <w:r w:rsidRPr="007844A6">
              <w:t>thuận tiện từ phòng khách; hoặc diện tích trần nhà 10 mét vuông với chiều rộng tối thiểu 2 mét và đi lại thuận tiện từ phòng khách.</w:t>
            </w:r>
          </w:p>
        </w:tc>
        <w:tc>
          <w:tcPr>
            <w:tcW w:w="3081" w:type="dxa"/>
            <w:tcBorders>
              <w:top w:val="none" w:sz="0" w:space="0" w:color="auto"/>
              <w:bottom w:val="none" w:sz="0" w:space="0" w:color="auto"/>
              <w:right w:val="none" w:sz="0" w:space="0" w:color="auto"/>
            </w:tcBorders>
          </w:tcPr>
          <w:p w:rsidR="00C20E3D" w:rsidRPr="007844A6" w:rsidRDefault="00C20E3D" w:rsidP="00B668F3">
            <w:pPr>
              <w:cnfStyle w:val="000000100000" w:firstRow="0" w:lastRow="0" w:firstColumn="0" w:lastColumn="0" w:oddVBand="0" w:evenVBand="0" w:oddHBand="1" w:evenHBand="0" w:firstRowFirstColumn="0" w:firstRowLastColumn="0" w:lastRowFirstColumn="0" w:lastRowLastColumn="0"/>
            </w:pPr>
            <w:r w:rsidRPr="007844A6">
              <w:t>Không thay đổi</w:t>
            </w:r>
          </w:p>
        </w:tc>
      </w:tr>
      <w:tr w:rsidR="00C20E3D" w:rsidRPr="007844A6" w:rsidTr="00B11970">
        <w:tc>
          <w:tcPr>
            <w:cnfStyle w:val="001000000000" w:firstRow="0" w:lastRow="0" w:firstColumn="1" w:lastColumn="0" w:oddVBand="0" w:evenVBand="0" w:oddHBand="0" w:evenHBand="0" w:firstRowFirstColumn="0" w:firstRowLastColumn="0" w:lastRowFirstColumn="0" w:lastRowLastColumn="0"/>
            <w:tcW w:w="3080" w:type="dxa"/>
          </w:tcPr>
          <w:p w:rsidR="00C20E3D" w:rsidRPr="007844A6" w:rsidRDefault="00C20E3D" w:rsidP="00AD12DC">
            <w:pPr>
              <w:rPr>
                <w:b w:val="0"/>
              </w:rPr>
            </w:pPr>
            <w:r w:rsidRPr="007844A6">
              <w:rPr>
                <w:rStyle w:val="m3468431549952277636s1"/>
                <w:rFonts w:cs="Times New Roman"/>
                <w:color w:val="222222"/>
                <w:sz w:val="24"/>
                <w:szCs w:val="24"/>
              </w:rPr>
              <w:t xml:space="preserve">Chiều cao </w:t>
            </w:r>
            <w:r w:rsidR="00AD12DC" w:rsidRPr="007844A6">
              <w:rPr>
                <w:rStyle w:val="m3468431549952277636s1"/>
                <w:rFonts w:cs="Times New Roman"/>
                <w:color w:val="222222"/>
                <w:sz w:val="24"/>
                <w:szCs w:val="24"/>
              </w:rPr>
              <w:t>hàng rào</w:t>
            </w:r>
            <w:r w:rsidRPr="007844A6">
              <w:rPr>
                <w:rStyle w:val="m3468431549952277636s1"/>
                <w:rFonts w:cs="Times New Roman"/>
                <w:color w:val="222222"/>
                <w:sz w:val="24"/>
                <w:szCs w:val="24"/>
              </w:rPr>
              <w:t xml:space="preserve"> phía trước</w:t>
            </w:r>
            <w:r w:rsidRPr="007844A6">
              <w:t xml:space="preserve">: </w:t>
            </w:r>
            <w:r w:rsidRPr="007844A6">
              <w:rPr>
                <w:rStyle w:val="m3468431549952277636s1"/>
                <w:rFonts w:cs="Times New Roman"/>
                <w:b w:val="0"/>
                <w:color w:val="222222"/>
                <w:sz w:val="24"/>
                <w:szCs w:val="24"/>
              </w:rPr>
              <w:t xml:space="preserve">chiều cao tối đa 1,5 mét (hoặc 2 mét nếu nằm trên </w:t>
            </w:r>
            <w:r w:rsidR="00B9748C" w:rsidRPr="007844A6">
              <w:rPr>
                <w:rStyle w:val="m3468431549952277636s1"/>
                <w:rFonts w:cs="Times New Roman"/>
                <w:b w:val="0"/>
                <w:color w:val="222222"/>
                <w:sz w:val="24"/>
                <w:szCs w:val="24"/>
              </w:rPr>
              <w:t xml:space="preserve">trục </w:t>
            </w:r>
            <w:r w:rsidRPr="007844A6">
              <w:rPr>
                <w:rStyle w:val="m3468431549952277636s1"/>
                <w:rFonts w:cs="Times New Roman"/>
                <w:b w:val="0"/>
                <w:color w:val="222222"/>
                <w:sz w:val="24"/>
                <w:szCs w:val="24"/>
              </w:rPr>
              <w:t>đường chính)</w:t>
            </w:r>
            <w:r w:rsidRPr="007844A6">
              <w:rPr>
                <w:b w:val="0"/>
              </w:rPr>
              <w:t xml:space="preserve"> </w:t>
            </w:r>
          </w:p>
        </w:tc>
        <w:tc>
          <w:tcPr>
            <w:tcW w:w="3081" w:type="dxa"/>
          </w:tcPr>
          <w:p w:rsidR="00C20E3D" w:rsidRPr="007844A6" w:rsidRDefault="00C20E3D" w:rsidP="00B668F3">
            <w:pPr>
              <w:cnfStyle w:val="000000000000" w:firstRow="0" w:lastRow="0" w:firstColumn="0" w:lastColumn="0" w:oddVBand="0" w:evenVBand="0" w:oddHBand="0" w:evenHBand="0" w:firstRowFirstColumn="0" w:firstRowLastColumn="0" w:lastRowFirstColumn="0" w:lastRowLastColumn="0"/>
            </w:pPr>
            <w:r w:rsidRPr="007844A6">
              <w:t>Không thay đổi</w:t>
            </w:r>
          </w:p>
        </w:tc>
        <w:tc>
          <w:tcPr>
            <w:tcW w:w="3081" w:type="dxa"/>
          </w:tcPr>
          <w:p w:rsidR="00C20E3D" w:rsidRPr="007844A6" w:rsidRDefault="00C20E3D" w:rsidP="00B668F3">
            <w:pPr>
              <w:cnfStyle w:val="000000000000" w:firstRow="0" w:lastRow="0" w:firstColumn="0" w:lastColumn="0" w:oddVBand="0" w:evenVBand="0" w:oddHBand="0" w:evenHBand="0" w:firstRowFirstColumn="0" w:firstRowLastColumn="0" w:lastRowFirstColumn="0" w:lastRowLastColumn="0"/>
            </w:pPr>
            <w:r w:rsidRPr="007844A6">
              <w:t>Không thay đổi</w:t>
            </w:r>
          </w:p>
        </w:tc>
      </w:tr>
      <w:tr w:rsidR="00C20E3D" w:rsidRPr="007844A6" w:rsidTr="00B11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C20E3D" w:rsidRPr="007844A6" w:rsidRDefault="00C20E3D" w:rsidP="00B668F3">
            <w:pPr>
              <w:rPr>
                <w:b w:val="0"/>
              </w:rPr>
            </w:pPr>
            <w:r w:rsidRPr="007844A6">
              <w:rPr>
                <w:rStyle w:val="m3468431549952277636s1"/>
                <w:color w:val="222222"/>
              </w:rPr>
              <w:t>C</w:t>
            </w:r>
            <w:r w:rsidRPr="007844A6">
              <w:rPr>
                <w:rStyle w:val="m3468431549952277636s1"/>
                <w:rFonts w:cs="Times New Roman"/>
                <w:color w:val="222222"/>
                <w:sz w:val="24"/>
                <w:szCs w:val="24"/>
              </w:rPr>
              <w:t xml:space="preserve">hiều cao </w:t>
            </w:r>
            <w:r w:rsidRPr="007844A6">
              <w:rPr>
                <w:rStyle w:val="m3468431549952277636s1"/>
                <w:color w:val="222222"/>
              </w:rPr>
              <w:t>xây dựng</w:t>
            </w:r>
            <w:r w:rsidRPr="007844A6">
              <w:rPr>
                <w:b w:val="0"/>
              </w:rPr>
              <w:t xml:space="preserve"> – </w:t>
            </w:r>
            <w:r w:rsidRPr="007844A6">
              <w:rPr>
                <w:rStyle w:val="m3468431549952277636s1"/>
                <w:rFonts w:cs="Times New Roman"/>
                <w:b w:val="0"/>
                <w:color w:val="222222"/>
                <w:sz w:val="24"/>
                <w:szCs w:val="24"/>
              </w:rPr>
              <w:t>hiện nay là 9 mét.</w:t>
            </w:r>
          </w:p>
        </w:tc>
        <w:tc>
          <w:tcPr>
            <w:tcW w:w="3081" w:type="dxa"/>
            <w:tcBorders>
              <w:top w:val="none" w:sz="0" w:space="0" w:color="auto"/>
              <w:bottom w:val="none" w:sz="0" w:space="0" w:color="auto"/>
            </w:tcBorders>
          </w:tcPr>
          <w:p w:rsidR="00C20E3D" w:rsidRPr="007844A6" w:rsidRDefault="00C20E3D" w:rsidP="00B668F3">
            <w:pPr>
              <w:cnfStyle w:val="000000100000" w:firstRow="0" w:lastRow="0" w:firstColumn="0" w:lastColumn="0" w:oddVBand="0" w:evenVBand="0" w:oddHBand="1" w:evenHBand="0" w:firstRowFirstColumn="0" w:firstRowLastColumn="0" w:lastRowFirstColumn="0" w:lastRowLastColumn="0"/>
            </w:pPr>
            <w:r w:rsidRPr="007844A6">
              <w:t xml:space="preserve">Tối đa 4 lầu (13,5 mét) </w:t>
            </w:r>
          </w:p>
        </w:tc>
        <w:tc>
          <w:tcPr>
            <w:tcW w:w="3081" w:type="dxa"/>
            <w:tcBorders>
              <w:top w:val="none" w:sz="0" w:space="0" w:color="auto"/>
              <w:bottom w:val="none" w:sz="0" w:space="0" w:color="auto"/>
              <w:right w:val="none" w:sz="0" w:space="0" w:color="auto"/>
            </w:tcBorders>
          </w:tcPr>
          <w:p w:rsidR="00C20E3D" w:rsidRPr="007844A6" w:rsidRDefault="00B9748C" w:rsidP="00B9748C">
            <w:pPr>
              <w:cnfStyle w:val="000000100000" w:firstRow="0" w:lastRow="0" w:firstColumn="0" w:lastColumn="0" w:oddVBand="0" w:evenVBand="0" w:oddHBand="1" w:evenHBand="0" w:firstRowFirstColumn="0" w:firstRowLastColumn="0" w:lastRowFirstColumn="0" w:lastRowLastColumn="0"/>
            </w:pPr>
            <w:r w:rsidRPr="007844A6">
              <w:t>Tối đa 13,5 mét</w:t>
            </w:r>
          </w:p>
        </w:tc>
      </w:tr>
    </w:tbl>
    <w:p w:rsidR="00110D60" w:rsidRPr="007844A6" w:rsidRDefault="00110D60">
      <w:pPr>
        <w:rPr>
          <w:i/>
        </w:rPr>
      </w:pPr>
    </w:p>
    <w:p w:rsidR="00B11970" w:rsidRPr="007844A6" w:rsidRDefault="00C20E3D">
      <w:pPr>
        <w:rPr>
          <w:color w:val="00AEEF"/>
          <w:sz w:val="36"/>
          <w:szCs w:val="36"/>
        </w:rPr>
      </w:pPr>
      <w:r w:rsidRPr="007844A6">
        <w:rPr>
          <w:i/>
        </w:rPr>
        <w:t xml:space="preserve">Ghi chú: Các yêu cầu trên của ResCode </w:t>
      </w:r>
      <w:r w:rsidR="00E07522" w:rsidRPr="007844A6">
        <w:rPr>
          <w:i/>
        </w:rPr>
        <w:t xml:space="preserve">được </w:t>
      </w:r>
      <w:r w:rsidRPr="007844A6">
        <w:rPr>
          <w:i/>
        </w:rPr>
        <w:t>thay đổ</w:t>
      </w:r>
      <w:r w:rsidR="00E07522" w:rsidRPr="007844A6">
        <w:rPr>
          <w:i/>
        </w:rPr>
        <w:t>i trong P</w:t>
      </w:r>
      <w:r w:rsidRPr="007844A6">
        <w:rPr>
          <w:i/>
        </w:rPr>
        <w:t xml:space="preserve">hụ lục đối với những khu vực mới, tuy nhiên </w:t>
      </w:r>
      <w:r w:rsidR="00E07522" w:rsidRPr="007844A6">
        <w:rPr>
          <w:i/>
        </w:rPr>
        <w:t xml:space="preserve">tất cả </w:t>
      </w:r>
      <w:r w:rsidRPr="007844A6">
        <w:rPr>
          <w:i/>
        </w:rPr>
        <w:t xml:space="preserve">các quy định khác của ResCode sẽ tiếp tục được áp dụng </w:t>
      </w:r>
      <w:r w:rsidR="00E07522" w:rsidRPr="007844A6">
        <w:rPr>
          <w:i/>
        </w:rPr>
        <w:t xml:space="preserve">đối với việc </w:t>
      </w:r>
      <w:r w:rsidRPr="007844A6">
        <w:rPr>
          <w:i/>
        </w:rPr>
        <w:t>phát triển</w:t>
      </w:r>
      <w:r w:rsidR="00E07522" w:rsidRPr="007844A6">
        <w:rPr>
          <w:i/>
        </w:rPr>
        <w:t>,</w:t>
      </w:r>
      <w:r w:rsidRPr="007844A6">
        <w:rPr>
          <w:i/>
        </w:rPr>
        <w:t xml:space="preserve"> bao gồm </w:t>
      </w:r>
      <w:r w:rsidR="00E07522" w:rsidRPr="007844A6">
        <w:rPr>
          <w:i/>
        </w:rPr>
        <w:t xml:space="preserve">cả </w:t>
      </w:r>
      <w:r w:rsidRPr="007844A6">
        <w:rPr>
          <w:i/>
        </w:rPr>
        <w:t xml:space="preserve">các </w:t>
      </w:r>
      <w:r w:rsidR="00E07522" w:rsidRPr="007844A6">
        <w:rPr>
          <w:i/>
        </w:rPr>
        <w:t xml:space="preserve">hạng </w:t>
      </w:r>
      <w:r w:rsidRPr="007844A6">
        <w:rPr>
          <w:i/>
        </w:rPr>
        <w:t xml:space="preserve">mục liên quan đến ánh sáng ban ngày, năng lượng mặt trời, cửa sổ </w:t>
      </w:r>
      <w:r w:rsidR="00E07522" w:rsidRPr="007844A6">
        <w:rPr>
          <w:i/>
        </w:rPr>
        <w:t xml:space="preserve">hướng </w:t>
      </w:r>
      <w:r w:rsidRPr="007844A6">
        <w:rPr>
          <w:i/>
        </w:rPr>
        <w:t xml:space="preserve">về phía Bắc, </w:t>
      </w:r>
      <w:r w:rsidR="002F5153" w:rsidRPr="007844A6">
        <w:rPr>
          <w:i/>
        </w:rPr>
        <w:t xml:space="preserve">hắt </w:t>
      </w:r>
      <w:r w:rsidRPr="007844A6">
        <w:rPr>
          <w:i/>
        </w:rPr>
        <w:t>bóng và nhìn từ trên cao xuống v.v.</w:t>
      </w:r>
      <w:r w:rsidR="00B11970" w:rsidRPr="007844A6">
        <w:br w:type="page"/>
      </w:r>
    </w:p>
    <w:p w:rsidR="000C2D3E" w:rsidRPr="007844A6" w:rsidRDefault="00F328D0" w:rsidP="000C2D3E">
      <w:pPr>
        <w:pStyle w:val="Style1"/>
        <w:jc w:val="both"/>
      </w:pPr>
      <w:r w:rsidRPr="007844A6">
        <w:lastRenderedPageBreak/>
        <w:t>G</w:t>
      </w:r>
      <w:r w:rsidR="00A76F94" w:rsidRPr="007844A6">
        <w:t xml:space="preserve">iải </w:t>
      </w:r>
      <w:r w:rsidRPr="007844A6">
        <w:t xml:space="preserve">thích </w:t>
      </w:r>
      <w:r w:rsidR="00A76F94" w:rsidRPr="007844A6">
        <w:t>thuật ngữ</w:t>
      </w:r>
    </w:p>
    <w:p w:rsidR="006A0C78" w:rsidRPr="007844A6" w:rsidRDefault="006A0C78" w:rsidP="006A0C78">
      <w:pPr>
        <w:pStyle w:val="Style1"/>
        <w:ind w:left="3402" w:hanging="3402"/>
        <w:jc w:val="both"/>
        <w:rPr>
          <w:rFonts w:cs="Arial"/>
          <w:color w:val="auto"/>
          <w:sz w:val="22"/>
          <w:szCs w:val="22"/>
        </w:rPr>
      </w:pPr>
      <w:r w:rsidRPr="007844A6">
        <w:rPr>
          <w:rFonts w:cs="Arial"/>
          <w:b/>
          <w:color w:val="auto"/>
          <w:sz w:val="22"/>
          <w:szCs w:val="22"/>
        </w:rPr>
        <w:t>Vị trí thuận tiện</w:t>
      </w:r>
      <w:r w:rsidRPr="007844A6">
        <w:rPr>
          <w:rFonts w:cs="Arial"/>
          <w:b/>
          <w:color w:val="auto"/>
          <w:sz w:val="22"/>
          <w:szCs w:val="22"/>
        </w:rPr>
        <w:tab/>
      </w:r>
      <w:r w:rsidRPr="007844A6">
        <w:rPr>
          <w:rFonts w:cs="Arial"/>
          <w:color w:val="auto"/>
          <w:sz w:val="22"/>
          <w:szCs w:val="22"/>
        </w:rPr>
        <w:t>Là những địa điểm có vị trí tốt được coi là gần giao thông công cộng (</w:t>
      </w:r>
      <w:proofErr w:type="gramStart"/>
      <w:r w:rsidRPr="007844A6">
        <w:rPr>
          <w:rFonts w:cs="Arial"/>
          <w:color w:val="auto"/>
          <w:sz w:val="22"/>
          <w:szCs w:val="22"/>
        </w:rPr>
        <w:t>xe</w:t>
      </w:r>
      <w:proofErr w:type="gramEnd"/>
      <w:r w:rsidRPr="007844A6">
        <w:rPr>
          <w:rFonts w:cs="Arial"/>
          <w:color w:val="auto"/>
          <w:sz w:val="22"/>
          <w:szCs w:val="22"/>
        </w:rPr>
        <w:t xml:space="preserve"> buýt/xe lửa) cũng như các dịch vụ như trung tâm bán lẻ hoặc việc làm. Vị trí thuận tiện thường được đo bằng khoảng cách đi bộ.</w:t>
      </w:r>
    </w:p>
    <w:p w:rsidR="006A0C78" w:rsidRPr="007844A6" w:rsidRDefault="006A0C78" w:rsidP="006A0C78">
      <w:pPr>
        <w:pStyle w:val="Style1"/>
        <w:ind w:left="3402" w:hanging="3402"/>
        <w:jc w:val="both"/>
        <w:rPr>
          <w:rFonts w:cs="Arial"/>
          <w:color w:val="auto"/>
          <w:sz w:val="22"/>
          <w:szCs w:val="22"/>
        </w:rPr>
      </w:pPr>
      <w:r w:rsidRPr="007844A6">
        <w:rPr>
          <w:rFonts w:cs="Arial"/>
          <w:b/>
          <w:color w:val="auto"/>
          <w:sz w:val="22"/>
          <w:szCs w:val="22"/>
        </w:rPr>
        <w:t>Trung tâm hoạt động</w:t>
      </w:r>
      <w:r w:rsidRPr="007844A6">
        <w:rPr>
          <w:rFonts w:cs="Arial"/>
          <w:b/>
          <w:color w:val="auto"/>
          <w:sz w:val="22"/>
          <w:szCs w:val="22"/>
        </w:rPr>
        <w:tab/>
      </w:r>
      <w:r w:rsidRPr="007844A6">
        <w:rPr>
          <w:rFonts w:cs="Arial"/>
          <w:color w:val="auto"/>
          <w:sz w:val="22"/>
          <w:szCs w:val="22"/>
        </w:rPr>
        <w:t xml:space="preserve">Là các trung tâm bán lẻ, dịch vụ và/hoặc sử dụng </w:t>
      </w:r>
      <w:proofErr w:type="gramStart"/>
      <w:r w:rsidRPr="007844A6">
        <w:rPr>
          <w:rFonts w:cs="Arial"/>
          <w:color w:val="auto"/>
          <w:sz w:val="22"/>
          <w:szCs w:val="22"/>
        </w:rPr>
        <w:t>lao</w:t>
      </w:r>
      <w:proofErr w:type="gramEnd"/>
      <w:r w:rsidRPr="007844A6">
        <w:rPr>
          <w:rFonts w:cs="Arial"/>
          <w:color w:val="auto"/>
          <w:sz w:val="22"/>
          <w:szCs w:val="22"/>
        </w:rPr>
        <w:t xml:space="preserve"> động. Chúng khác nhau về quy mô, từ các con phố thương mại địa phương cho đến các trung tâm mua sắm lớn trong vùng.</w:t>
      </w:r>
    </w:p>
    <w:p w:rsidR="006A0C78" w:rsidRPr="007844A6" w:rsidRDefault="006A0C78" w:rsidP="006A0C78">
      <w:pPr>
        <w:pStyle w:val="Style1"/>
        <w:ind w:left="3402" w:hanging="3402"/>
        <w:jc w:val="both"/>
        <w:rPr>
          <w:rFonts w:cs="Arial"/>
          <w:color w:val="auto"/>
          <w:sz w:val="22"/>
          <w:szCs w:val="22"/>
        </w:rPr>
      </w:pPr>
      <w:r w:rsidRPr="007844A6">
        <w:rPr>
          <w:rFonts w:cs="Arial"/>
          <w:b/>
          <w:color w:val="auto"/>
          <w:sz w:val="22"/>
          <w:szCs w:val="22"/>
        </w:rPr>
        <w:t>Tính đa dạng</w:t>
      </w:r>
      <w:r w:rsidRPr="007844A6">
        <w:rPr>
          <w:rFonts w:cs="Arial"/>
          <w:b/>
          <w:color w:val="auto"/>
          <w:sz w:val="22"/>
          <w:szCs w:val="22"/>
        </w:rPr>
        <w:tab/>
      </w:r>
      <w:r w:rsidRPr="007844A6">
        <w:rPr>
          <w:rFonts w:cs="Arial"/>
          <w:color w:val="auto"/>
          <w:sz w:val="22"/>
          <w:szCs w:val="22"/>
        </w:rPr>
        <w:t>Khi các ngôi nhà không giống nhau, mà được xây dựng đa dạng. Đa dạng về nhà ở là điều quan trọng để phục vụ cho tất cả các nhu cầu khác nhau của người dân sinh sống tại Wyndham.</w:t>
      </w:r>
    </w:p>
    <w:p w:rsidR="006A0C78" w:rsidRPr="007844A6" w:rsidRDefault="006A0C78" w:rsidP="006A0C78">
      <w:pPr>
        <w:pStyle w:val="Style1"/>
        <w:ind w:left="3402" w:hanging="3402"/>
        <w:jc w:val="both"/>
        <w:rPr>
          <w:rFonts w:cs="Arial"/>
          <w:color w:val="auto"/>
          <w:sz w:val="22"/>
          <w:szCs w:val="22"/>
        </w:rPr>
      </w:pPr>
      <w:r w:rsidRPr="007844A6">
        <w:rPr>
          <w:rFonts w:cs="Arial"/>
          <w:b/>
          <w:color w:val="auto"/>
          <w:sz w:val="22"/>
          <w:szCs w:val="22"/>
        </w:rPr>
        <w:t>Tăng trưởng nhà ở</w:t>
      </w:r>
      <w:r w:rsidRPr="007844A6">
        <w:rPr>
          <w:rFonts w:cs="Arial"/>
          <w:b/>
          <w:color w:val="auto"/>
          <w:sz w:val="22"/>
          <w:szCs w:val="22"/>
        </w:rPr>
        <w:tab/>
      </w:r>
      <w:r w:rsidRPr="007844A6">
        <w:rPr>
          <w:rFonts w:cs="Arial"/>
          <w:color w:val="auto"/>
          <w:sz w:val="22"/>
          <w:szCs w:val="22"/>
        </w:rPr>
        <w:t>Là việc phát triển nhà ở mới tại Wyndham.</w:t>
      </w:r>
    </w:p>
    <w:p w:rsidR="006A0C78" w:rsidRPr="007844A6" w:rsidRDefault="006A0C78" w:rsidP="006A0C78">
      <w:pPr>
        <w:pStyle w:val="Style1"/>
        <w:ind w:left="3402" w:hanging="3402"/>
        <w:jc w:val="both"/>
        <w:rPr>
          <w:rFonts w:cs="Arial"/>
          <w:color w:val="auto"/>
          <w:sz w:val="22"/>
          <w:szCs w:val="22"/>
        </w:rPr>
      </w:pPr>
      <w:r w:rsidRPr="007844A6">
        <w:rPr>
          <w:rFonts w:cs="Arial"/>
          <w:b/>
          <w:color w:val="auto"/>
          <w:sz w:val="22"/>
          <w:szCs w:val="22"/>
        </w:rPr>
        <w:t>Trung tâm Hoạt động Lớn</w:t>
      </w:r>
      <w:r w:rsidRPr="007844A6">
        <w:rPr>
          <w:rFonts w:cs="Arial"/>
          <w:b/>
          <w:color w:val="auto"/>
          <w:sz w:val="22"/>
          <w:szCs w:val="22"/>
        </w:rPr>
        <w:tab/>
      </w:r>
      <w:r w:rsidRPr="007844A6">
        <w:rPr>
          <w:rFonts w:cs="Arial"/>
          <w:color w:val="auto"/>
          <w:sz w:val="22"/>
          <w:szCs w:val="22"/>
        </w:rPr>
        <w:t>Là trung tâm hoạt động lớn phục vụ số lượng người lớn, thường là các trung tâm mua sắm lớn như Pacific Werribee (Werribee Plaza).</w:t>
      </w:r>
    </w:p>
    <w:p w:rsidR="006A0C78" w:rsidRPr="007844A6" w:rsidRDefault="006A0C78" w:rsidP="006A0C78">
      <w:pPr>
        <w:pStyle w:val="Style1"/>
        <w:ind w:left="3402" w:hanging="3402"/>
        <w:jc w:val="both"/>
        <w:rPr>
          <w:rFonts w:cs="Arial"/>
          <w:color w:val="auto"/>
          <w:sz w:val="22"/>
          <w:szCs w:val="22"/>
        </w:rPr>
      </w:pPr>
      <w:r w:rsidRPr="007844A6">
        <w:rPr>
          <w:rFonts w:cs="Arial"/>
          <w:b/>
          <w:color w:val="auto"/>
          <w:sz w:val="22"/>
          <w:szCs w:val="22"/>
        </w:rPr>
        <w:t>Trung tâm Hoạt động Cộng đồng</w:t>
      </w:r>
      <w:r w:rsidRPr="007844A6">
        <w:rPr>
          <w:rFonts w:cs="Arial"/>
          <w:b/>
          <w:color w:val="auto"/>
          <w:sz w:val="22"/>
          <w:szCs w:val="22"/>
        </w:rPr>
        <w:tab/>
      </w:r>
      <w:r w:rsidRPr="007844A6">
        <w:rPr>
          <w:rFonts w:cs="Arial"/>
          <w:color w:val="auto"/>
          <w:sz w:val="22"/>
          <w:szCs w:val="22"/>
        </w:rPr>
        <w:t>Là trung tâm hoạt động quy mô nhỏ hơn, chủ yếu phục vụ người dân địa phương.</w:t>
      </w:r>
    </w:p>
    <w:p w:rsidR="006A0C78" w:rsidRPr="007844A6" w:rsidRDefault="006A0C78" w:rsidP="006A0C78">
      <w:pPr>
        <w:pStyle w:val="Style1"/>
        <w:ind w:left="3402" w:hanging="3402"/>
        <w:jc w:val="both"/>
        <w:rPr>
          <w:rFonts w:cs="Arial"/>
          <w:color w:val="auto"/>
          <w:sz w:val="22"/>
          <w:szCs w:val="22"/>
        </w:rPr>
      </w:pPr>
      <w:r w:rsidRPr="007844A6">
        <w:rPr>
          <w:rFonts w:cs="Arial"/>
          <w:b/>
          <w:color w:val="auto"/>
          <w:sz w:val="22"/>
          <w:szCs w:val="22"/>
        </w:rPr>
        <w:t>Diện tích đất trống</w:t>
      </w:r>
      <w:r w:rsidRPr="007844A6">
        <w:rPr>
          <w:rStyle w:val="yiv3998819330s1"/>
          <w:rFonts w:cs="Arial"/>
          <w:color w:val="454545"/>
          <w:sz w:val="34"/>
          <w:szCs w:val="34"/>
        </w:rPr>
        <w:t xml:space="preserve"> </w:t>
      </w:r>
      <w:r w:rsidRPr="007844A6">
        <w:rPr>
          <w:rFonts w:cs="Arial"/>
          <w:b/>
          <w:color w:val="auto"/>
          <w:sz w:val="22"/>
          <w:szCs w:val="22"/>
        </w:rPr>
        <w:tab/>
      </w:r>
      <w:r w:rsidRPr="007844A6">
        <w:rPr>
          <w:rFonts w:cs="Arial"/>
          <w:color w:val="auto"/>
          <w:sz w:val="22"/>
          <w:szCs w:val="22"/>
        </w:rPr>
        <w:t xml:space="preserve">Là diện tích khu đất (được tính </w:t>
      </w:r>
      <w:proofErr w:type="gramStart"/>
      <w:r w:rsidRPr="007844A6">
        <w:rPr>
          <w:rFonts w:cs="Arial"/>
          <w:color w:val="auto"/>
          <w:sz w:val="22"/>
          <w:szCs w:val="22"/>
        </w:rPr>
        <w:t>theo</w:t>
      </w:r>
      <w:proofErr w:type="gramEnd"/>
      <w:r w:rsidRPr="007844A6">
        <w:rPr>
          <w:rFonts w:cs="Arial"/>
          <w:color w:val="auto"/>
          <w:sz w:val="22"/>
          <w:szCs w:val="22"/>
        </w:rPr>
        <w:t xml:space="preserve"> tỷ lệ phần trăm) không bị bao phủ bởi các bề mặt cứng như tòa nhà, tráng bê tông, đường xe vào nhà và đường đi bộ, nhà kho v.v.) </w:t>
      </w:r>
      <w:proofErr w:type="gramStart"/>
      <w:r w:rsidRPr="007844A6">
        <w:rPr>
          <w:rFonts w:cs="Arial"/>
          <w:color w:val="auto"/>
          <w:sz w:val="22"/>
          <w:szCs w:val="22"/>
        </w:rPr>
        <w:t>và</w:t>
      </w:r>
      <w:proofErr w:type="gramEnd"/>
      <w:r w:rsidRPr="007844A6">
        <w:rPr>
          <w:rFonts w:cs="Arial"/>
          <w:color w:val="auto"/>
          <w:sz w:val="22"/>
          <w:szCs w:val="22"/>
        </w:rPr>
        <w:t xml:space="preserve"> vì thế có thể thấm nước.</w:t>
      </w:r>
    </w:p>
    <w:p w:rsidR="006A0C78" w:rsidRPr="007844A6" w:rsidRDefault="006A0C78" w:rsidP="006A0C78">
      <w:pPr>
        <w:pStyle w:val="Style1"/>
        <w:ind w:left="3402" w:hanging="3402"/>
        <w:jc w:val="both"/>
        <w:rPr>
          <w:rFonts w:cs="Arial"/>
          <w:b/>
          <w:color w:val="auto"/>
          <w:sz w:val="22"/>
          <w:szCs w:val="22"/>
        </w:rPr>
      </w:pPr>
      <w:r w:rsidRPr="007844A6">
        <w:rPr>
          <w:rFonts w:cs="Arial"/>
          <w:b/>
          <w:color w:val="auto"/>
          <w:sz w:val="22"/>
          <w:szCs w:val="22"/>
        </w:rPr>
        <w:t>Trung tâm Hoạt động Chính</w:t>
      </w:r>
      <w:r w:rsidRPr="007844A6">
        <w:rPr>
          <w:rFonts w:cs="Arial"/>
          <w:b/>
          <w:color w:val="auto"/>
          <w:sz w:val="22"/>
          <w:szCs w:val="22"/>
        </w:rPr>
        <w:tab/>
      </w:r>
      <w:r w:rsidRPr="007844A6">
        <w:rPr>
          <w:rFonts w:cs="Arial"/>
          <w:color w:val="auto"/>
          <w:sz w:val="22"/>
          <w:szCs w:val="22"/>
        </w:rPr>
        <w:t>Là các</w:t>
      </w:r>
      <w:r w:rsidRPr="007844A6">
        <w:rPr>
          <w:rFonts w:cs="Arial"/>
          <w:b/>
          <w:color w:val="auto"/>
          <w:sz w:val="22"/>
          <w:szCs w:val="22"/>
        </w:rPr>
        <w:t xml:space="preserve"> </w:t>
      </w:r>
      <w:r w:rsidRPr="007844A6">
        <w:rPr>
          <w:rFonts w:cs="Arial"/>
          <w:color w:val="auto"/>
          <w:sz w:val="22"/>
          <w:szCs w:val="22"/>
        </w:rPr>
        <w:t>con phố thương mại tại Trung tâm Thành phố</w:t>
      </w:r>
      <w:r w:rsidRPr="007844A6">
        <w:rPr>
          <w:rFonts w:cs="Arial"/>
          <w:b/>
          <w:color w:val="auto"/>
          <w:sz w:val="22"/>
          <w:szCs w:val="22"/>
        </w:rPr>
        <w:t xml:space="preserve"> </w:t>
      </w:r>
      <w:r w:rsidRPr="007844A6">
        <w:rPr>
          <w:rFonts w:cs="Arial"/>
          <w:color w:val="auto"/>
          <w:sz w:val="22"/>
          <w:szCs w:val="22"/>
        </w:rPr>
        <w:t>Werribee.</w:t>
      </w:r>
    </w:p>
    <w:p w:rsidR="006A0C78" w:rsidRPr="007844A6" w:rsidRDefault="006A0C78" w:rsidP="006A0C78">
      <w:pPr>
        <w:pStyle w:val="Style1"/>
        <w:ind w:left="3402" w:hanging="3402"/>
        <w:jc w:val="both"/>
        <w:rPr>
          <w:rFonts w:cs="Arial"/>
          <w:color w:val="auto"/>
          <w:sz w:val="22"/>
          <w:szCs w:val="22"/>
        </w:rPr>
      </w:pPr>
      <w:r w:rsidRPr="007844A6">
        <w:rPr>
          <w:rFonts w:cs="Arial"/>
          <w:b/>
          <w:color w:val="auto"/>
          <w:sz w:val="22"/>
          <w:szCs w:val="22"/>
        </w:rPr>
        <w:t xml:space="preserve">Mạng lưới Giao thông Công cộng Chủ yếu </w:t>
      </w:r>
      <w:r w:rsidRPr="007844A6">
        <w:rPr>
          <w:rFonts w:cs="Arial"/>
          <w:b/>
          <w:color w:val="auto"/>
          <w:sz w:val="22"/>
          <w:szCs w:val="22"/>
        </w:rPr>
        <w:tab/>
      </w:r>
      <w:r w:rsidRPr="007844A6">
        <w:rPr>
          <w:rFonts w:cs="Arial"/>
          <w:color w:val="auto"/>
          <w:sz w:val="22"/>
          <w:szCs w:val="22"/>
        </w:rPr>
        <w:t xml:space="preserve">Là mạng lưới các tuyến </w:t>
      </w:r>
      <w:proofErr w:type="gramStart"/>
      <w:r w:rsidRPr="007844A6">
        <w:rPr>
          <w:rFonts w:cs="Arial"/>
          <w:color w:val="auto"/>
          <w:sz w:val="22"/>
          <w:szCs w:val="22"/>
        </w:rPr>
        <w:t>xe</w:t>
      </w:r>
      <w:proofErr w:type="gramEnd"/>
      <w:r w:rsidRPr="007844A6">
        <w:rPr>
          <w:rFonts w:cs="Arial"/>
          <w:color w:val="auto"/>
          <w:sz w:val="22"/>
          <w:szCs w:val="22"/>
        </w:rPr>
        <w:t xml:space="preserve"> lửa và xe buýt chủ yếu do Giao thông Công cộng Victoria quyết định.</w:t>
      </w:r>
    </w:p>
    <w:p w:rsidR="006A0C78" w:rsidRPr="007844A6" w:rsidRDefault="006A0C78" w:rsidP="006A0C78">
      <w:pPr>
        <w:pStyle w:val="Style1"/>
        <w:ind w:left="3402" w:hanging="3402"/>
        <w:jc w:val="both"/>
        <w:rPr>
          <w:rFonts w:cs="Arial"/>
          <w:color w:val="auto"/>
          <w:sz w:val="22"/>
          <w:szCs w:val="22"/>
        </w:rPr>
      </w:pPr>
      <w:r w:rsidRPr="007844A6">
        <w:rPr>
          <w:rFonts w:cs="Arial"/>
          <w:b/>
          <w:color w:val="auto"/>
          <w:sz w:val="22"/>
          <w:szCs w:val="22"/>
        </w:rPr>
        <w:t>Nơi lộ thiên cá nhân</w:t>
      </w:r>
      <w:r w:rsidRPr="007844A6">
        <w:rPr>
          <w:rFonts w:cs="Arial"/>
          <w:b/>
          <w:color w:val="auto"/>
          <w:sz w:val="22"/>
          <w:szCs w:val="22"/>
        </w:rPr>
        <w:tab/>
      </w:r>
      <w:r w:rsidRPr="007844A6">
        <w:rPr>
          <w:rFonts w:cs="Arial"/>
          <w:color w:val="auto"/>
          <w:sz w:val="22"/>
          <w:szCs w:val="22"/>
        </w:rPr>
        <w:t>Là diện tích bên ngoài ngôi nhà dành riêng cho người sống trong nhà đó sử dụng (nghĩa là sân phía trước hoặc phía sau nhà).</w:t>
      </w:r>
    </w:p>
    <w:p w:rsidR="006A0C78" w:rsidRPr="007844A6" w:rsidRDefault="006A0C78" w:rsidP="006A0C78">
      <w:pPr>
        <w:pStyle w:val="Style1"/>
        <w:ind w:left="3402" w:hanging="3402"/>
        <w:jc w:val="both"/>
        <w:rPr>
          <w:rFonts w:cs="Arial"/>
          <w:color w:val="auto"/>
          <w:sz w:val="22"/>
          <w:szCs w:val="22"/>
        </w:rPr>
      </w:pPr>
      <w:r w:rsidRPr="007844A6">
        <w:rPr>
          <w:rFonts w:cs="Arial"/>
          <w:b/>
          <w:color w:val="auto"/>
          <w:sz w:val="22"/>
          <w:szCs w:val="22"/>
        </w:rPr>
        <w:t>Khoảng trống bên hông và sau nhà</w:t>
      </w:r>
      <w:r w:rsidRPr="007844A6">
        <w:rPr>
          <w:rFonts w:cs="Arial"/>
          <w:b/>
          <w:color w:val="auto"/>
          <w:sz w:val="22"/>
          <w:szCs w:val="22"/>
        </w:rPr>
        <w:tab/>
      </w:r>
      <w:r w:rsidRPr="007844A6">
        <w:rPr>
          <w:rFonts w:cs="Arial"/>
          <w:color w:val="auto"/>
          <w:sz w:val="22"/>
          <w:szCs w:val="22"/>
        </w:rPr>
        <w:t xml:space="preserve">Là khoảng cách giữa bức tường ngôi nhà và lằn ranh giới của ngôi nhà.  </w:t>
      </w:r>
    </w:p>
    <w:p w:rsidR="006A0C78" w:rsidRPr="007844A6" w:rsidRDefault="006A0C78" w:rsidP="006A0C78">
      <w:pPr>
        <w:pStyle w:val="Style1"/>
        <w:ind w:left="3402" w:hanging="3402"/>
        <w:jc w:val="both"/>
        <w:rPr>
          <w:rFonts w:cs="Arial"/>
          <w:color w:val="auto"/>
          <w:sz w:val="22"/>
          <w:szCs w:val="22"/>
        </w:rPr>
      </w:pPr>
      <w:r w:rsidRPr="007844A6">
        <w:rPr>
          <w:rFonts w:cs="Arial"/>
          <w:b/>
          <w:color w:val="auto"/>
          <w:sz w:val="22"/>
          <w:szCs w:val="22"/>
        </w:rPr>
        <w:t>Diện tích xây dựng</w:t>
      </w:r>
      <w:r w:rsidRPr="007844A6">
        <w:rPr>
          <w:rFonts w:cs="Arial"/>
          <w:b/>
          <w:color w:val="auto"/>
          <w:sz w:val="22"/>
          <w:szCs w:val="22"/>
        </w:rPr>
        <w:tab/>
      </w:r>
      <w:r w:rsidRPr="007844A6">
        <w:rPr>
          <w:rFonts w:cs="Arial"/>
          <w:color w:val="auto"/>
          <w:sz w:val="22"/>
          <w:szCs w:val="22"/>
        </w:rPr>
        <w:t xml:space="preserve">Là diện tích khu đất (được tính </w:t>
      </w:r>
      <w:proofErr w:type="gramStart"/>
      <w:r w:rsidRPr="007844A6">
        <w:rPr>
          <w:rFonts w:cs="Arial"/>
          <w:color w:val="auto"/>
          <w:sz w:val="22"/>
          <w:szCs w:val="22"/>
        </w:rPr>
        <w:t>theo</w:t>
      </w:r>
      <w:proofErr w:type="gramEnd"/>
      <w:r w:rsidRPr="007844A6">
        <w:rPr>
          <w:rFonts w:cs="Arial"/>
          <w:color w:val="auto"/>
          <w:sz w:val="22"/>
          <w:szCs w:val="22"/>
        </w:rPr>
        <w:t xml:space="preserve"> tỷ lệ phần trăm) có thể xây dựng (bao gồm ngôi nhà, hàng hiên, nhà kho, ga-ra, và bất kỳ công trình ngoài trời nào khác).</w:t>
      </w:r>
    </w:p>
    <w:p w:rsidR="006A0C78" w:rsidRPr="007844A6" w:rsidRDefault="006A0C78" w:rsidP="006A0C78">
      <w:pPr>
        <w:pStyle w:val="Style1"/>
        <w:ind w:left="3402" w:hanging="3402"/>
        <w:jc w:val="both"/>
        <w:rPr>
          <w:rFonts w:cs="Arial"/>
          <w:color w:val="auto"/>
          <w:sz w:val="22"/>
          <w:szCs w:val="22"/>
        </w:rPr>
      </w:pPr>
      <w:r w:rsidRPr="007844A6">
        <w:rPr>
          <w:rFonts w:cs="Arial"/>
          <w:b/>
          <w:color w:val="auto"/>
          <w:sz w:val="22"/>
          <w:szCs w:val="22"/>
        </w:rPr>
        <w:t>Khoảng trống trước nhà</w:t>
      </w:r>
      <w:r w:rsidRPr="007844A6">
        <w:rPr>
          <w:rFonts w:cs="Arial"/>
          <w:b/>
          <w:color w:val="auto"/>
          <w:sz w:val="22"/>
          <w:szCs w:val="22"/>
        </w:rPr>
        <w:tab/>
      </w:r>
      <w:r w:rsidRPr="007844A6">
        <w:rPr>
          <w:rFonts w:cs="Arial"/>
          <w:color w:val="auto"/>
          <w:sz w:val="22"/>
          <w:szCs w:val="22"/>
        </w:rPr>
        <w:t xml:space="preserve">Là khoảng cách đo từ đường giao thông (lằn ranh giới phía trước ngôi nhà) cho đến bức tường phía trước ngôi </w:t>
      </w:r>
      <w:r w:rsidRPr="007844A6">
        <w:rPr>
          <w:rFonts w:cs="Arial"/>
          <w:color w:val="auto"/>
          <w:sz w:val="22"/>
          <w:szCs w:val="22"/>
        </w:rPr>
        <w:lastRenderedPageBreak/>
        <w:t>nhà. Cổng chào cũng được phép chìa ra khoảng trống này nhưng phải đáp ứng một số yêu cầu nhất định.</w:t>
      </w:r>
    </w:p>
    <w:p w:rsidR="00B749DD" w:rsidRPr="007844A6" w:rsidRDefault="006A0C78" w:rsidP="006A0C78">
      <w:pPr>
        <w:pStyle w:val="Style1"/>
        <w:ind w:left="3402" w:hanging="3402"/>
        <w:jc w:val="both"/>
        <w:rPr>
          <w:rFonts w:cs="Arial"/>
          <w:color w:val="auto"/>
          <w:sz w:val="22"/>
          <w:szCs w:val="22"/>
        </w:rPr>
      </w:pPr>
      <w:r w:rsidRPr="007844A6">
        <w:rPr>
          <w:rFonts w:cs="Arial"/>
          <w:b/>
          <w:color w:val="auto"/>
          <w:sz w:val="22"/>
          <w:szCs w:val="22"/>
        </w:rPr>
        <w:t>Khu vực</w:t>
      </w:r>
      <w:r w:rsidRPr="007844A6">
        <w:rPr>
          <w:rFonts w:cs="Arial"/>
          <w:b/>
          <w:color w:val="auto"/>
          <w:sz w:val="22"/>
          <w:szCs w:val="22"/>
        </w:rPr>
        <w:tab/>
      </w:r>
      <w:r w:rsidRPr="007844A6">
        <w:rPr>
          <w:rFonts w:cs="Arial"/>
          <w:color w:val="auto"/>
          <w:sz w:val="22"/>
          <w:szCs w:val="22"/>
        </w:rPr>
        <w:t xml:space="preserve">Việc kiểm soát quy hoạch áp dụng cho toàn bộ đất </w:t>
      </w:r>
      <w:proofErr w:type="gramStart"/>
      <w:r w:rsidRPr="007844A6">
        <w:rPr>
          <w:rFonts w:cs="Arial"/>
          <w:color w:val="auto"/>
          <w:sz w:val="22"/>
          <w:szCs w:val="22"/>
        </w:rPr>
        <w:t>đai</w:t>
      </w:r>
      <w:proofErr w:type="gramEnd"/>
      <w:r w:rsidRPr="007844A6">
        <w:rPr>
          <w:rFonts w:cs="Arial"/>
          <w:color w:val="auto"/>
          <w:sz w:val="22"/>
          <w:szCs w:val="22"/>
        </w:rPr>
        <w:t xml:space="preserve"> và quy định việc sử dụng và phát triển được phép hoặc không được phép trong một khu vực. </w:t>
      </w:r>
    </w:p>
    <w:sectPr w:rsidR="00B749DD" w:rsidRPr="007844A6" w:rsidSect="00B749DD">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C5" w:rsidRDefault="00166FC5" w:rsidP="00B749DD">
      <w:pPr>
        <w:spacing w:after="0" w:line="240" w:lineRule="auto"/>
      </w:pPr>
      <w:r>
        <w:separator/>
      </w:r>
    </w:p>
  </w:endnote>
  <w:endnote w:type="continuationSeparator" w:id="0">
    <w:p w:rsidR="00166FC5" w:rsidRDefault="00166FC5" w:rsidP="00B7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5F" w:rsidRPr="005E1AAC" w:rsidRDefault="004D475F" w:rsidP="00B749DD">
    <w:pPr>
      <w:pStyle w:val="Footer"/>
      <w:pBdr>
        <w:top w:val="single" w:sz="12" w:space="1" w:color="00AEEF"/>
      </w:pBdr>
      <w:rPr>
        <w:color w:val="00AEEF"/>
        <w:sz w:val="20"/>
      </w:rPr>
    </w:pPr>
    <w:r w:rsidRPr="005E1AAC">
      <w:rPr>
        <w:color w:val="00AEEF"/>
        <w:sz w:val="20"/>
      </w:rPr>
      <w:t>Wyndham City</w:t>
    </w:r>
    <w:r>
      <w:rPr>
        <w:color w:val="00AEEF"/>
        <w:sz w:val="20"/>
      </w:rPr>
      <w:tab/>
    </w:r>
    <w:r>
      <w:rPr>
        <w:color w:val="00AEEF"/>
        <w:sz w:val="20"/>
      </w:rPr>
      <w:tab/>
    </w:r>
    <w:r w:rsidRPr="005E1AAC">
      <w:rPr>
        <w:color w:val="00AEEF"/>
        <w:sz w:val="18"/>
      </w:rPr>
      <w:t xml:space="preserve">Page </w:t>
    </w:r>
    <w:r w:rsidR="00BC0CD8" w:rsidRPr="005E1AAC">
      <w:rPr>
        <w:color w:val="00AEEF"/>
        <w:sz w:val="18"/>
      </w:rPr>
      <w:fldChar w:fldCharType="begin"/>
    </w:r>
    <w:r w:rsidRPr="005E1AAC">
      <w:rPr>
        <w:color w:val="00AEEF"/>
        <w:sz w:val="18"/>
      </w:rPr>
      <w:instrText xml:space="preserve"> PAGE  \* Arabic  \* MERGEFORMAT </w:instrText>
    </w:r>
    <w:r w:rsidR="00BC0CD8" w:rsidRPr="005E1AAC">
      <w:rPr>
        <w:color w:val="00AEEF"/>
        <w:sz w:val="18"/>
      </w:rPr>
      <w:fldChar w:fldCharType="separate"/>
    </w:r>
    <w:r w:rsidR="00BD1F80">
      <w:rPr>
        <w:noProof/>
        <w:color w:val="00AEEF"/>
        <w:sz w:val="18"/>
      </w:rPr>
      <w:t>4</w:t>
    </w:r>
    <w:r w:rsidR="00BC0CD8" w:rsidRPr="005E1AAC">
      <w:rPr>
        <w:color w:val="00AEEF"/>
        <w:sz w:val="18"/>
      </w:rPr>
      <w:fldChar w:fldCharType="end"/>
    </w:r>
    <w:r w:rsidRPr="005E1AAC">
      <w:rPr>
        <w:color w:val="00AEEF"/>
        <w:sz w:val="18"/>
      </w:rPr>
      <w:t xml:space="preserve"> of </w:t>
    </w:r>
    <w:r w:rsidR="00BD1F80">
      <w:fldChar w:fldCharType="begin"/>
    </w:r>
    <w:r w:rsidR="00BD1F80">
      <w:instrText xml:space="preserve"> NUMPAGES  \* Arabic  \* MERGEFORMAT </w:instrText>
    </w:r>
    <w:r w:rsidR="00BD1F80">
      <w:fldChar w:fldCharType="separate"/>
    </w:r>
    <w:r w:rsidR="00BD1F80" w:rsidRPr="00BD1F80">
      <w:rPr>
        <w:noProof/>
        <w:color w:val="00AEEF"/>
        <w:sz w:val="18"/>
      </w:rPr>
      <w:t>6</w:t>
    </w:r>
    <w:r w:rsidR="00BD1F80">
      <w:rPr>
        <w:noProof/>
        <w:color w:val="00AEE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5F" w:rsidRPr="005E1AAC" w:rsidRDefault="004D475F" w:rsidP="005E1AAC">
    <w:pPr>
      <w:pStyle w:val="Footer"/>
      <w:pBdr>
        <w:top w:val="single" w:sz="12" w:space="1" w:color="00AEEF"/>
      </w:pBdr>
      <w:rPr>
        <w:color w:val="00AEEF"/>
        <w:sz w:val="20"/>
      </w:rPr>
    </w:pPr>
    <w:r w:rsidRPr="005E1AAC">
      <w:rPr>
        <w:color w:val="00AEEF"/>
        <w:sz w:val="20"/>
      </w:rPr>
      <w:t>Wyndham City</w:t>
    </w:r>
    <w:r>
      <w:rPr>
        <w:color w:val="00AEEF"/>
        <w:sz w:val="20"/>
      </w:rPr>
      <w:tab/>
    </w:r>
    <w:r>
      <w:rPr>
        <w:color w:val="00AEEF"/>
        <w:sz w:val="20"/>
      </w:rPr>
      <w:tab/>
    </w:r>
    <w:r w:rsidRPr="005E1AAC">
      <w:rPr>
        <w:color w:val="00AEEF"/>
        <w:sz w:val="18"/>
      </w:rPr>
      <w:t xml:space="preserve">Page </w:t>
    </w:r>
    <w:r w:rsidR="00BC0CD8" w:rsidRPr="005E1AAC">
      <w:rPr>
        <w:color w:val="00AEEF"/>
        <w:sz w:val="18"/>
      </w:rPr>
      <w:fldChar w:fldCharType="begin"/>
    </w:r>
    <w:r w:rsidRPr="005E1AAC">
      <w:rPr>
        <w:color w:val="00AEEF"/>
        <w:sz w:val="18"/>
      </w:rPr>
      <w:instrText xml:space="preserve"> PAGE  \* Arabic  \* MERGEFORMAT </w:instrText>
    </w:r>
    <w:r w:rsidR="00BC0CD8" w:rsidRPr="005E1AAC">
      <w:rPr>
        <w:color w:val="00AEEF"/>
        <w:sz w:val="18"/>
      </w:rPr>
      <w:fldChar w:fldCharType="separate"/>
    </w:r>
    <w:r w:rsidR="00BD1F80">
      <w:rPr>
        <w:noProof/>
        <w:color w:val="00AEEF"/>
        <w:sz w:val="18"/>
      </w:rPr>
      <w:t>1</w:t>
    </w:r>
    <w:r w:rsidR="00BC0CD8" w:rsidRPr="005E1AAC">
      <w:rPr>
        <w:color w:val="00AEEF"/>
        <w:sz w:val="18"/>
      </w:rPr>
      <w:fldChar w:fldCharType="end"/>
    </w:r>
    <w:r w:rsidRPr="005E1AAC">
      <w:rPr>
        <w:color w:val="00AEEF"/>
        <w:sz w:val="18"/>
      </w:rPr>
      <w:t xml:space="preserve"> of </w:t>
    </w:r>
    <w:r w:rsidR="00BD1F80">
      <w:fldChar w:fldCharType="begin"/>
    </w:r>
    <w:r w:rsidR="00BD1F80">
      <w:instrText xml:space="preserve"> NUMPAGES  \* Arabic  \* MERGEFORMAT </w:instrText>
    </w:r>
    <w:r w:rsidR="00BD1F80">
      <w:fldChar w:fldCharType="separate"/>
    </w:r>
    <w:r w:rsidR="00BD1F80" w:rsidRPr="00BD1F80">
      <w:rPr>
        <w:noProof/>
        <w:color w:val="00AEEF"/>
        <w:sz w:val="18"/>
      </w:rPr>
      <w:t>6</w:t>
    </w:r>
    <w:r w:rsidR="00BD1F80">
      <w:rPr>
        <w:noProof/>
        <w:color w:val="00AEE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C5" w:rsidRDefault="00166FC5" w:rsidP="00B749DD">
      <w:pPr>
        <w:spacing w:after="0" w:line="240" w:lineRule="auto"/>
      </w:pPr>
      <w:r>
        <w:separator/>
      </w:r>
    </w:p>
  </w:footnote>
  <w:footnote w:type="continuationSeparator" w:id="0">
    <w:p w:rsidR="00166FC5" w:rsidRDefault="00166FC5" w:rsidP="00B74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75F" w:rsidRDefault="004D475F">
    <w:pPr>
      <w:pStyle w:val="Header"/>
    </w:pPr>
    <w:r>
      <w:rPr>
        <w:noProof/>
        <w:lang w:eastAsia="en-AU"/>
      </w:rPr>
      <w:drawing>
        <wp:anchor distT="0" distB="0" distL="114300" distR="114300" simplePos="0" relativeHeight="251659264" behindDoc="1" locked="0" layoutInCell="1" allowOverlap="1">
          <wp:simplePos x="0" y="0"/>
          <wp:positionH relativeFrom="column">
            <wp:posOffset>-912495</wp:posOffset>
          </wp:positionH>
          <wp:positionV relativeFrom="paragraph">
            <wp:posOffset>-450053</wp:posOffset>
          </wp:positionV>
          <wp:extent cx="7562850" cy="3238500"/>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719"/>
                  <a:stretch/>
                </pic:blipFill>
                <pic:spPr bwMode="auto">
                  <a:xfrm>
                    <a:off x="0" y="0"/>
                    <a:ext cx="7562850" cy="3238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0472"/>
    <w:multiLevelType w:val="hybridMultilevel"/>
    <w:tmpl w:val="FD4CD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F47D3C"/>
    <w:multiLevelType w:val="hybridMultilevel"/>
    <w:tmpl w:val="8B8CF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215915"/>
    <w:multiLevelType w:val="hybridMultilevel"/>
    <w:tmpl w:val="918C52C2"/>
    <w:lvl w:ilvl="0" w:tplc="BA560EC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6B1C42"/>
    <w:multiLevelType w:val="hybridMultilevel"/>
    <w:tmpl w:val="9962C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B749DD"/>
    <w:rsid w:val="00053633"/>
    <w:rsid w:val="000604E6"/>
    <w:rsid w:val="000A7099"/>
    <w:rsid w:val="000B4C38"/>
    <w:rsid w:val="000C060F"/>
    <w:rsid w:val="000C2D3E"/>
    <w:rsid w:val="000D5BBF"/>
    <w:rsid w:val="001003D2"/>
    <w:rsid w:val="00103862"/>
    <w:rsid w:val="00110D60"/>
    <w:rsid w:val="00114A54"/>
    <w:rsid w:val="001440B0"/>
    <w:rsid w:val="00145D03"/>
    <w:rsid w:val="00166FC5"/>
    <w:rsid w:val="0017621A"/>
    <w:rsid w:val="001B7E6E"/>
    <w:rsid w:val="001E6178"/>
    <w:rsid w:val="001E6C78"/>
    <w:rsid w:val="00247CB0"/>
    <w:rsid w:val="00297B34"/>
    <w:rsid w:val="002A5C6B"/>
    <w:rsid w:val="002F5153"/>
    <w:rsid w:val="0032339D"/>
    <w:rsid w:val="00326477"/>
    <w:rsid w:val="00372CC7"/>
    <w:rsid w:val="003B629D"/>
    <w:rsid w:val="003C04C6"/>
    <w:rsid w:val="003C7358"/>
    <w:rsid w:val="003D5447"/>
    <w:rsid w:val="003E5B33"/>
    <w:rsid w:val="00402C28"/>
    <w:rsid w:val="0044515E"/>
    <w:rsid w:val="00471D3F"/>
    <w:rsid w:val="00477363"/>
    <w:rsid w:val="00484CBB"/>
    <w:rsid w:val="004D475F"/>
    <w:rsid w:val="00557484"/>
    <w:rsid w:val="00587DCA"/>
    <w:rsid w:val="00590725"/>
    <w:rsid w:val="005A61FB"/>
    <w:rsid w:val="005E1AAC"/>
    <w:rsid w:val="005E56D2"/>
    <w:rsid w:val="00636529"/>
    <w:rsid w:val="00663F4D"/>
    <w:rsid w:val="0068664F"/>
    <w:rsid w:val="006A0C78"/>
    <w:rsid w:val="006A4450"/>
    <w:rsid w:val="006A7785"/>
    <w:rsid w:val="006B04DD"/>
    <w:rsid w:val="006D3728"/>
    <w:rsid w:val="007017BB"/>
    <w:rsid w:val="00733C75"/>
    <w:rsid w:val="007779BD"/>
    <w:rsid w:val="007844A6"/>
    <w:rsid w:val="00803939"/>
    <w:rsid w:val="00882EE4"/>
    <w:rsid w:val="008A28C2"/>
    <w:rsid w:val="008A74D0"/>
    <w:rsid w:val="008C6229"/>
    <w:rsid w:val="008E3E07"/>
    <w:rsid w:val="008F4F43"/>
    <w:rsid w:val="00905FC1"/>
    <w:rsid w:val="00911A98"/>
    <w:rsid w:val="00912807"/>
    <w:rsid w:val="009B28AF"/>
    <w:rsid w:val="00A04087"/>
    <w:rsid w:val="00A12688"/>
    <w:rsid w:val="00A4001F"/>
    <w:rsid w:val="00A76F94"/>
    <w:rsid w:val="00A96247"/>
    <w:rsid w:val="00AD12DC"/>
    <w:rsid w:val="00AF4E2F"/>
    <w:rsid w:val="00B11970"/>
    <w:rsid w:val="00B66AA7"/>
    <w:rsid w:val="00B749DD"/>
    <w:rsid w:val="00B853E5"/>
    <w:rsid w:val="00B9748C"/>
    <w:rsid w:val="00BA5F47"/>
    <w:rsid w:val="00BC0CD8"/>
    <w:rsid w:val="00BD1F80"/>
    <w:rsid w:val="00BE22E0"/>
    <w:rsid w:val="00C20E3D"/>
    <w:rsid w:val="00C214DB"/>
    <w:rsid w:val="00C3637A"/>
    <w:rsid w:val="00C5413C"/>
    <w:rsid w:val="00C8555D"/>
    <w:rsid w:val="00CD1E3A"/>
    <w:rsid w:val="00CE150D"/>
    <w:rsid w:val="00CE4E8A"/>
    <w:rsid w:val="00CF0998"/>
    <w:rsid w:val="00D5641F"/>
    <w:rsid w:val="00D8565B"/>
    <w:rsid w:val="00DA7690"/>
    <w:rsid w:val="00DD7792"/>
    <w:rsid w:val="00DF7024"/>
    <w:rsid w:val="00E05CAA"/>
    <w:rsid w:val="00E07522"/>
    <w:rsid w:val="00E4729A"/>
    <w:rsid w:val="00E53B0B"/>
    <w:rsid w:val="00E81A07"/>
    <w:rsid w:val="00ED6F99"/>
    <w:rsid w:val="00F06C56"/>
    <w:rsid w:val="00F14C2E"/>
    <w:rsid w:val="00F211AF"/>
    <w:rsid w:val="00F328D0"/>
    <w:rsid w:val="00F93600"/>
    <w:rsid w:val="00F960A8"/>
    <w:rsid w:val="00FB01C8"/>
    <w:rsid w:val="00FB238C"/>
    <w:rsid w:val="00FD2BD4"/>
    <w:rsid w:val="00FE0AFC"/>
    <w:rsid w:val="00FF2E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427DF51-D7E8-49F4-8470-DC820269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01">
    <w:name w:val="_Table_Header01"/>
    <w:qFormat/>
    <w:rsid w:val="00ED6F99"/>
    <w:pPr>
      <w:framePr w:wrap="around" w:vAnchor="page" w:hAnchor="margin" w:x="1" w:y="1986"/>
      <w:spacing w:after="0" w:line="240" w:lineRule="auto"/>
    </w:pPr>
    <w:rPr>
      <w:rFonts w:ascii="Calibri" w:eastAsia="MS Mincho" w:hAnsi="Calibri" w:cs="Times New Roman"/>
      <w:b/>
      <w:color w:val="FFFFFF" w:themeColor="background1"/>
      <w:sz w:val="24"/>
      <w:szCs w:val="24"/>
      <w:lang w:val="en-US"/>
    </w:rPr>
  </w:style>
  <w:style w:type="paragraph" w:styleId="Header">
    <w:name w:val="header"/>
    <w:basedOn w:val="Normal"/>
    <w:link w:val="HeaderChar"/>
    <w:uiPriority w:val="99"/>
    <w:unhideWhenUsed/>
    <w:rsid w:val="00B74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9DD"/>
  </w:style>
  <w:style w:type="paragraph" w:styleId="Footer">
    <w:name w:val="footer"/>
    <w:basedOn w:val="Normal"/>
    <w:link w:val="FooterChar"/>
    <w:uiPriority w:val="99"/>
    <w:unhideWhenUsed/>
    <w:rsid w:val="00B74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9DD"/>
  </w:style>
  <w:style w:type="paragraph" w:customStyle="1" w:styleId="Style1">
    <w:name w:val="Style1"/>
    <w:basedOn w:val="Normal"/>
    <w:link w:val="Style1Char"/>
    <w:qFormat/>
    <w:rsid w:val="00B749DD"/>
    <w:rPr>
      <w:color w:val="00AEEF"/>
      <w:sz w:val="36"/>
      <w:szCs w:val="36"/>
    </w:rPr>
  </w:style>
  <w:style w:type="paragraph" w:customStyle="1" w:styleId="IntroPara01">
    <w:name w:val="_IntroPara01"/>
    <w:next w:val="Normal"/>
    <w:qFormat/>
    <w:rsid w:val="00B749DD"/>
    <w:pPr>
      <w:spacing w:after="170" w:line="240" w:lineRule="auto"/>
    </w:pPr>
    <w:rPr>
      <w:rFonts w:ascii="Calibri" w:eastAsia="MS Mincho" w:hAnsi="Calibri" w:cs="Times New Roman"/>
      <w:caps/>
      <w:sz w:val="28"/>
      <w:szCs w:val="28"/>
      <w:lang w:val="en-US"/>
    </w:rPr>
  </w:style>
  <w:style w:type="character" w:customStyle="1" w:styleId="Style1Char">
    <w:name w:val="Style1 Char"/>
    <w:basedOn w:val="DefaultParagraphFont"/>
    <w:link w:val="Style1"/>
    <w:rsid w:val="00B749DD"/>
    <w:rPr>
      <w:color w:val="00AEEF"/>
      <w:sz w:val="36"/>
      <w:szCs w:val="36"/>
    </w:rPr>
  </w:style>
  <w:style w:type="paragraph" w:customStyle="1" w:styleId="Header01">
    <w:name w:val="_Header01"/>
    <w:next w:val="IntroPara01"/>
    <w:qFormat/>
    <w:rsid w:val="00B749DD"/>
    <w:pPr>
      <w:spacing w:after="113" w:line="240" w:lineRule="auto"/>
    </w:pPr>
    <w:rPr>
      <w:rFonts w:ascii="Calibri" w:eastAsia="MS Mincho" w:hAnsi="Calibri" w:cs="Times New Roman"/>
      <w:color w:val="00AEEF"/>
      <w:sz w:val="96"/>
      <w:szCs w:val="96"/>
      <w:lang w:val="en-US"/>
    </w:rPr>
  </w:style>
  <w:style w:type="paragraph" w:styleId="ListParagraph">
    <w:name w:val="List Paragraph"/>
    <w:basedOn w:val="Normal"/>
    <w:uiPriority w:val="34"/>
    <w:qFormat/>
    <w:rsid w:val="00053633"/>
    <w:pPr>
      <w:ind w:left="720"/>
      <w:contextualSpacing/>
    </w:pPr>
  </w:style>
  <w:style w:type="table" w:styleId="TableGrid">
    <w:name w:val="Table Grid"/>
    <w:basedOn w:val="TableNormal"/>
    <w:uiPriority w:val="59"/>
    <w:rsid w:val="00F9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38C"/>
    <w:rPr>
      <w:rFonts w:ascii="Tahoma" w:hAnsi="Tahoma" w:cs="Tahoma"/>
      <w:sz w:val="16"/>
      <w:szCs w:val="16"/>
    </w:rPr>
  </w:style>
  <w:style w:type="character" w:styleId="Hyperlink">
    <w:name w:val="Hyperlink"/>
    <w:basedOn w:val="DefaultParagraphFont"/>
    <w:uiPriority w:val="99"/>
    <w:unhideWhenUsed/>
    <w:rsid w:val="001E6C78"/>
    <w:rPr>
      <w:color w:val="0000FF" w:themeColor="hyperlink"/>
      <w:u w:val="single"/>
    </w:rPr>
  </w:style>
  <w:style w:type="table" w:styleId="LightList-Accent1">
    <w:name w:val="Light List Accent 1"/>
    <w:basedOn w:val="TableNormal"/>
    <w:uiPriority w:val="61"/>
    <w:rsid w:val="001E6C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1E6C78"/>
    <w:pPr>
      <w:autoSpaceDE w:val="0"/>
      <w:autoSpaceDN w:val="0"/>
      <w:adjustRightInd w:val="0"/>
      <w:spacing w:after="0" w:line="240" w:lineRule="auto"/>
    </w:pPr>
    <w:rPr>
      <w:rFonts w:ascii="Arial" w:hAnsi="Arial" w:cs="Arial"/>
      <w:color w:val="000000"/>
      <w:sz w:val="24"/>
      <w:szCs w:val="24"/>
    </w:rPr>
  </w:style>
  <w:style w:type="character" w:customStyle="1" w:styleId="yiv3998819330s1">
    <w:name w:val="yiv3998819330s1"/>
    <w:basedOn w:val="DefaultParagraphFont"/>
    <w:rsid w:val="00F06C56"/>
  </w:style>
  <w:style w:type="character" w:customStyle="1" w:styleId="m3468431549952277636s1">
    <w:name w:val="m_3468431549952277636s1"/>
    <w:basedOn w:val="DefaultParagraphFont"/>
    <w:rsid w:val="00F06C56"/>
  </w:style>
  <w:style w:type="character" w:customStyle="1" w:styleId="apple-converted-space">
    <w:name w:val="apple-converted-space"/>
    <w:basedOn w:val="DefaultParagraphFont"/>
    <w:rsid w:val="008F4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dham.vic.gov.au/hous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C856-5B54-4467-A359-D993DB8A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Sy</dc:creator>
  <cp:lastModifiedBy>Claire Mullins</cp:lastModifiedBy>
  <cp:revision>26</cp:revision>
  <cp:lastPrinted>2017-03-01T06:37:00Z</cp:lastPrinted>
  <dcterms:created xsi:type="dcterms:W3CDTF">2017-02-14T10:54:00Z</dcterms:created>
  <dcterms:modified xsi:type="dcterms:W3CDTF">2017-03-01T06:37:00Z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A1522782</vt:lpwstr>
  </property>
  <property fmtid="{D5CDD505-2E9C-101B-9397-08002B2CF9AE}" pid="4" name="Objective-Title">
    <vt:lpwstr>Housing and Neighbourhood Character Strategy - Consultation - Fact Sheet - Residential Growth Zone - 2016-12-01</vt:lpwstr>
  </property>
  <property fmtid="{D5CDD505-2E9C-101B-9397-08002B2CF9AE}" pid="5" name="Objective-Comment">
    <vt:lpwstr/>
  </property>
  <property fmtid="{D5CDD505-2E9C-101B-9397-08002B2CF9AE}" pid="6" name="Objective-CreationStamp">
    <vt:filetime>2016-12-01T06:33:45Z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2017-02-02T04:22:51Z</vt:filetime>
  </property>
  <property fmtid="{D5CDD505-2E9C-101B-9397-08002B2CF9AE}" pid="10" name="Objective-ModificationStamp">
    <vt:filetime>2017-02-02T04:22:51Z</vt:filetime>
  </property>
  <property fmtid="{D5CDD505-2E9C-101B-9397-08002B2CF9AE}" pid="11" name="Objective-Owner">
    <vt:lpwstr>Maureen Tesoro</vt:lpwstr>
  </property>
  <property fmtid="{D5CDD505-2E9C-101B-9397-08002B2CF9AE}" pid="12" name="Objective-Path">
    <vt:lpwstr>Objective Global Folder:Corporate Management:Policies Strategies &amp; Plans:2015 Housing and Neighbourhood Character Strategy:Consultation 2017:</vt:lpwstr>
  </property>
  <property fmtid="{D5CDD505-2E9C-101B-9397-08002B2CF9AE}" pid="13" name="Objective-Parent">
    <vt:lpwstr>Consultation 2017</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qA220363</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